
<file path=[Content_Types].xml><?xml version="1.0" encoding="utf-8"?>
<Types xmlns="http://schemas.openxmlformats.org/package/2006/content-types">
  <Default ContentType="application/xml" Extension="xml"/>
  <Default ContentType="image/jpeg" Extension="jpeg"/>
  <Default ContentType="application/vnd.openxmlformats-package.relationships+xml" Extension="rels"/>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rPr>
          <w:rFonts w:ascii="阿里巴巴普惠体 R" w:hAnsi="阿里巴巴普惠体 R" w:eastAsia="阿里巴巴普惠体 R" w:cs="阿里巴巴普惠体 R"/>
          <w:b w:val="0"/>
          <w:bCs w:val="0"/>
          <w:color w:val="000000"/>
          <w:sz w:val="24"/>
        </w:rPr>
        <w:sectPr>
          <w:footerReference r:id="rId3" w:type="default"/>
          <w:pgSz w:w="11907" w:h="16839"/>
          <w:pgMar w:top="1440" w:right="1803" w:bottom="1440" w:left="1803" w:header="720" w:footer="720" w:gutter="0"/>
          <w:cols w:space="720" w:num="1"/>
          <w:docGrid w:linePitch="272" w:charSpace="0"/>
        </w:sectPr>
      </w:pPr>
      <w:bookmarkStart w:id="1" w:name="_GoBack"/>
      <w:r>
        <w:rPr>
          <w:rFonts w:ascii="阿里巴巴普惠体 R" w:hAnsi="阿里巴巴普惠体 R" w:eastAsia="阿里巴巴普惠体 R" w:cs="阿里巴巴普惠体 R"/>
          <w:b w:val="0"/>
          <w:bCs w:val="0"/>
          <w:color w:val="000000"/>
          <w:sz w:val="24"/>
        </w:rPr>
        <w:pict>
          <v:shape id="_x0000_s1026" o:spid="_x0000_s1026" o:spt="202" type="#_x0000_t202" style="position:absolute;left:0pt;margin-left:-90.15pt;margin-top:278pt;height:88pt;width:595pt;mso-position-horizontal-relative:margin;mso-position-vertical-relative:margin;z-index:251659264;mso-width-relative:page;mso-height-relative:page;" filled="f" stroked="f" coordsize="21600,21600">
            <v:path/>
            <v:fill on="f" focussize="0,0"/>
            <v:stroke on="f"/>
            <v:imagedata o:title=""/>
            <o:lock v:ext="edit" aspectratio="f"/>
            <v:textbox>
              <w:txbxContent>
                <w:p>
                  <w:pPr>
                    <w:jc w:val="center"/>
                    <w:rPr>
                      <w:rFonts w:ascii="阿里巴巴普惠体 R" w:hAnsi="阿里巴巴普惠体 R" w:eastAsia="阿里巴巴普惠体 R" w:cs="阿里巴巴普惠体 R"/>
                      <w:b/>
                      <w:color w:val="FFFFFF"/>
                      <w:sz w:val="90"/>
                    </w:rPr>
                  </w:pPr>
                  <w:r>
                    <w:rPr>
                      <w:rFonts w:hint="eastAsia" w:ascii="阿里巴巴普惠体 R" w:hAnsi="阿里巴巴普惠体 R" w:eastAsia="阿里巴巴普惠体 R" w:cs="阿里巴巴普惠体 R"/>
                      <w:b/>
                      <w:color w:val="FFFFFF"/>
                      <w:sz w:val="90"/>
                    </w:rPr>
                    <w:t>股权激励合同</w:t>
                  </w:r>
                </w:p>
              </w:txbxContent>
            </v:textbox>
          </v:shape>
        </w:pict>
      </w:r>
      <w:r>
        <w:rPr>
          <w:rFonts w:ascii="阿里巴巴普惠体 R" w:hAnsi="阿里巴巴普惠体 R" w:eastAsia="阿里巴巴普惠体 R" w:cs="阿里巴巴普惠体 R"/>
          <w:b w:val="0"/>
          <w:bCs w:val="0"/>
          <w:color w:val="000000"/>
          <w:sz w:val="24"/>
        </w:rPr>
        <w:drawing>
          <wp:anchor distT="0" distB="0" distL="114300" distR="114300" simplePos="0" relativeHeight="251658240" behindDoc="0" locked="0" layoutInCell="1" allowOverlap="1">
            <wp:simplePos x="0" y="0"/>
            <wp:positionH relativeFrom="margin">
              <wp:posOffset>-1143000</wp:posOffset>
            </wp:positionH>
            <wp:positionV relativeFrom="margin">
              <wp:posOffset>-952500</wp:posOffset>
            </wp:positionV>
            <wp:extent cx="7556500" cy="10693400"/>
            <wp:effectExtent l="0" t="0" r="0" b="0"/>
            <wp:wrapNone/>
            <wp:docPr id="1" name="图片 1"/>
            <wp:cNvGraphicFramePr/>
            <a:graphic xmlns:a="http://schemas.openxmlformats.org/drawingml/2006/main">
              <a:graphicData uri="http://schemas.openxmlformats.org/drawingml/2006/picture">
                <pic:pic xmlns:pic="http://schemas.openxmlformats.org/drawingml/2006/picture">
                  <pic:nvPicPr>
                    <pic:cNvPr id="1" name="图片 1"/>
                    <pic:cNvPicPr/>
                  </pic:nvPicPr>
                  <pic:blipFill>
                    <a:blip r:embed="rId5">
                      <a:extLst>
                        <a:ext uri="{28A0092B-C50C-407E-A947-70E740481C1C}">
                          <a14:useLocalDpi xmlns:a14="http://schemas.microsoft.com/office/drawing/2010/main" val="0"/>
                        </a:ext>
                      </a:extLst>
                    </a:blip>
                    <a:stretch>
                      <a:fillRect/>
                    </a:stretch>
                  </pic:blipFill>
                  <pic:spPr>
                    <a:xfrm>
                      <a:off x="0" y="0"/>
                      <a:ext cx="7556500" cy="10693400"/>
                    </a:xfrm>
                    <a:prstGeom prst="rect">
                      <a:avLst/>
                    </a:prstGeom>
                    <a:solidFill>
                      <a:srgbClr val="FFFFFF"/>
                    </a:solidFill>
                  </pic:spPr>
                </pic:pic>
              </a:graphicData>
            </a:graphic>
          </wp:anchor>
        </w:drawing>
      </w:r>
    </w:p>
    <w:p>
      <w:pPr>
        <w:pStyle w:val="2"/>
        <w:rPr>
          <w:rFonts w:ascii="阿里巴巴普惠体 R" w:hAnsi="阿里巴巴普惠体 R" w:eastAsia="阿里巴巴普惠体 R" w:cs="阿里巴巴普惠体 R"/>
          <w:b w:val="0"/>
          <w:bCs w:val="0"/>
          <w:color w:val="000000"/>
          <w:sz w:val="24"/>
        </w:rPr>
      </w:pPr>
      <w:bookmarkStart w:id="0" w:name="_Toc1"/>
      <w:r>
        <w:rPr>
          <w:rFonts w:ascii="阿里巴巴普惠体 R" w:hAnsi="阿里巴巴普惠体 R" w:eastAsia="阿里巴巴普惠体 R" w:cs="阿里巴巴普惠体 R"/>
          <w:b w:val="0"/>
          <w:bCs w:val="0"/>
          <w:color w:val="000000"/>
          <w:sz w:val="24"/>
        </w:rPr>
        <w:t>股权激励协议</w:t>
      </w:r>
      <w:bookmarkEnd w:id="0"/>
    </w:p>
    <w:p>
      <w:pPr>
        <w:pStyle w:val="10"/>
        <w:rPr>
          <w:rFonts w:ascii="阿里巴巴普惠体 R" w:hAnsi="阿里巴巴普惠体 R" w:eastAsia="阿里巴巴普惠体 R" w:cs="阿里巴巴普惠体 R"/>
          <w:b w:val="0"/>
          <w:bCs w:val="0"/>
          <w:color w:val="000000"/>
          <w:sz w:val="24"/>
        </w:rPr>
      </w:pPr>
      <w:r>
        <w:rPr>
          <w:rFonts w:ascii="阿里巴巴普惠体 R" w:hAnsi="阿里巴巴普惠体 R" w:eastAsia="阿里巴巴普惠体 R" w:cs="阿里巴巴普惠体 R"/>
          <w:b w:val="0"/>
          <w:bCs w:val="0"/>
          <w:color w:val="000000"/>
          <w:sz w:val="24"/>
        </w:rPr>
        <w:t>甲方（企业）基本信息</w:t>
      </w:r>
    </w:p>
    <w:p>
      <w:pPr>
        <w:pStyle w:val="10"/>
        <w:rPr>
          <w:rFonts w:ascii="阿里巴巴普惠体 R" w:hAnsi="阿里巴巴普惠体 R" w:eastAsia="阿里巴巴普惠体 R" w:cs="阿里巴巴普惠体 R"/>
          <w:b w:val="0"/>
          <w:bCs w:val="0"/>
          <w:color w:val="000000"/>
          <w:sz w:val="24"/>
        </w:rPr>
      </w:pPr>
      <w:r>
        <w:rPr>
          <w:rFonts w:ascii="阿里巴巴普惠体 R" w:hAnsi="阿里巴巴普惠体 R" w:eastAsia="阿里巴巴普惠体 R" w:cs="阿里巴巴普惠体 R"/>
          <w:b w:val="0"/>
          <w:bCs w:val="0"/>
          <w:color w:val="000000"/>
          <w:sz w:val="24"/>
        </w:rPr>
        <w:t>企业名称：　　　　　　　　　　　　　　　　　　　　</w:t>
      </w:r>
    </w:p>
    <w:p>
      <w:pPr>
        <w:pStyle w:val="10"/>
        <w:rPr>
          <w:rFonts w:ascii="阿里巴巴普惠体 R" w:hAnsi="阿里巴巴普惠体 R" w:eastAsia="阿里巴巴普惠体 R" w:cs="阿里巴巴普惠体 R"/>
          <w:b w:val="0"/>
          <w:bCs w:val="0"/>
          <w:color w:val="000000"/>
          <w:sz w:val="24"/>
        </w:rPr>
      </w:pPr>
      <w:r>
        <w:rPr>
          <w:rFonts w:ascii="阿里巴巴普惠体 R" w:hAnsi="阿里巴巴普惠体 R" w:eastAsia="阿里巴巴普惠体 R" w:cs="阿里巴巴普惠体 R"/>
          <w:b w:val="0"/>
          <w:bCs w:val="0"/>
          <w:color w:val="000000"/>
          <w:sz w:val="24"/>
        </w:rPr>
        <w:t>注册地址：　　　　　　</w:t>
      </w:r>
    </w:p>
    <w:p>
      <w:pPr>
        <w:pStyle w:val="10"/>
        <w:rPr>
          <w:rFonts w:ascii="阿里巴巴普惠体 R" w:hAnsi="阿里巴巴普惠体 R" w:eastAsia="阿里巴巴普惠体 R" w:cs="阿里巴巴普惠体 R"/>
          <w:b w:val="0"/>
          <w:bCs w:val="0"/>
          <w:color w:val="000000"/>
          <w:sz w:val="24"/>
        </w:rPr>
      </w:pPr>
      <w:r>
        <w:rPr>
          <w:rFonts w:ascii="阿里巴巴普惠体 R" w:hAnsi="阿里巴巴普惠体 R" w:eastAsia="阿里巴巴普惠体 R" w:cs="阿里巴巴普惠体 R"/>
          <w:b w:val="0"/>
          <w:bCs w:val="0"/>
          <w:color w:val="000000"/>
          <w:sz w:val="24"/>
        </w:rPr>
        <w:t>通讯地址：　　　　　　</w:t>
      </w:r>
    </w:p>
    <w:p>
      <w:pPr>
        <w:pStyle w:val="10"/>
        <w:rPr>
          <w:rFonts w:ascii="阿里巴巴普惠体 R" w:hAnsi="阿里巴巴普惠体 R" w:eastAsia="阿里巴巴普惠体 R" w:cs="阿里巴巴普惠体 R"/>
          <w:b w:val="0"/>
          <w:bCs w:val="0"/>
          <w:color w:val="000000"/>
          <w:sz w:val="24"/>
        </w:rPr>
      </w:pPr>
      <w:r>
        <w:rPr>
          <w:rFonts w:ascii="阿里巴巴普惠体 R" w:hAnsi="阿里巴巴普惠体 R" w:eastAsia="阿里巴巴普惠体 R" w:cs="阿里巴巴普惠体 R"/>
          <w:b w:val="0"/>
          <w:bCs w:val="0"/>
          <w:color w:val="000000"/>
          <w:sz w:val="24"/>
        </w:rPr>
        <w:t>法定代表人：　　　　　　　　　　　　　　　　　　　　</w:t>
      </w:r>
    </w:p>
    <w:p>
      <w:pPr>
        <w:pStyle w:val="10"/>
        <w:rPr>
          <w:rFonts w:ascii="阿里巴巴普惠体 R" w:hAnsi="阿里巴巴普惠体 R" w:eastAsia="阿里巴巴普惠体 R" w:cs="阿里巴巴普惠体 R"/>
          <w:b w:val="0"/>
          <w:bCs w:val="0"/>
          <w:color w:val="000000"/>
          <w:sz w:val="24"/>
        </w:rPr>
      </w:pPr>
      <w:r>
        <w:rPr>
          <w:rFonts w:ascii="阿里巴巴普惠体 R" w:hAnsi="阿里巴巴普惠体 R" w:eastAsia="阿里巴巴普惠体 R" w:cs="阿里巴巴普惠体 R"/>
          <w:b w:val="0"/>
          <w:bCs w:val="0"/>
          <w:color w:val="000000"/>
          <w:sz w:val="24"/>
        </w:rPr>
        <w:t>主要负责人：　　　　　　　　　　　　　　　　　　　　</w:t>
      </w:r>
    </w:p>
    <w:p>
      <w:pPr>
        <w:pStyle w:val="10"/>
        <w:rPr>
          <w:rFonts w:ascii="阿里巴巴普惠体 R" w:hAnsi="阿里巴巴普惠体 R" w:eastAsia="阿里巴巴普惠体 R" w:cs="阿里巴巴普惠体 R"/>
          <w:b w:val="0"/>
          <w:bCs w:val="0"/>
          <w:color w:val="000000"/>
          <w:sz w:val="24"/>
        </w:rPr>
      </w:pPr>
      <w:r>
        <w:rPr>
          <w:rFonts w:ascii="阿里巴巴普惠体 R" w:hAnsi="阿里巴巴普惠体 R" w:eastAsia="阿里巴巴普惠体 R" w:cs="阿里巴巴普惠体 R"/>
          <w:b w:val="0"/>
          <w:bCs w:val="0"/>
          <w:color w:val="000000"/>
          <w:sz w:val="24"/>
        </w:rPr>
        <w:t>乙方（员工）基本信息</w:t>
      </w:r>
    </w:p>
    <w:p>
      <w:pPr>
        <w:pStyle w:val="10"/>
        <w:rPr>
          <w:rFonts w:ascii="阿里巴巴普惠体 R" w:hAnsi="阿里巴巴普惠体 R" w:eastAsia="阿里巴巴普惠体 R" w:cs="阿里巴巴普惠体 R"/>
          <w:b w:val="0"/>
          <w:bCs w:val="0"/>
          <w:color w:val="000000"/>
          <w:sz w:val="24"/>
        </w:rPr>
      </w:pPr>
      <w:r>
        <w:rPr>
          <w:rFonts w:ascii="阿里巴巴普惠体 R" w:hAnsi="阿里巴巴普惠体 R" w:eastAsia="阿里巴巴普惠体 R" w:cs="阿里巴巴普惠体 R"/>
          <w:b w:val="0"/>
          <w:bCs w:val="0"/>
          <w:color w:val="000000"/>
          <w:sz w:val="24"/>
        </w:rPr>
        <w:t>姓名：　　　　　　　　　　　　　　　　　　　　</w:t>
      </w:r>
    </w:p>
    <w:p>
      <w:pPr>
        <w:pStyle w:val="10"/>
        <w:rPr>
          <w:rFonts w:ascii="阿里巴巴普惠体 R" w:hAnsi="阿里巴巴普惠体 R" w:eastAsia="阿里巴巴普惠体 R" w:cs="阿里巴巴普惠体 R"/>
          <w:b w:val="0"/>
          <w:bCs w:val="0"/>
          <w:color w:val="000000"/>
          <w:sz w:val="24"/>
        </w:rPr>
      </w:pPr>
      <w:r>
        <w:rPr>
          <w:rFonts w:ascii="阿里巴巴普惠体 R" w:hAnsi="阿里巴巴普惠体 R" w:eastAsia="阿里巴巴普惠体 R" w:cs="阿里巴巴普惠体 R"/>
          <w:b w:val="0"/>
          <w:bCs w:val="0"/>
          <w:color w:val="000000"/>
          <w:sz w:val="24"/>
        </w:rPr>
        <w:t>通讯地址：　　　　　　</w:t>
      </w:r>
    </w:p>
    <w:p>
      <w:pPr>
        <w:pStyle w:val="10"/>
        <w:rPr>
          <w:rFonts w:ascii="阿里巴巴普惠体 R" w:hAnsi="阿里巴巴普惠体 R" w:eastAsia="阿里巴巴普惠体 R" w:cs="阿里巴巴普惠体 R"/>
          <w:b w:val="0"/>
          <w:bCs w:val="0"/>
          <w:color w:val="000000"/>
          <w:sz w:val="24"/>
        </w:rPr>
      </w:pPr>
      <w:r>
        <w:rPr>
          <w:rFonts w:ascii="阿里巴巴普惠体 R" w:hAnsi="阿里巴巴普惠体 R" w:eastAsia="阿里巴巴普惠体 R" w:cs="阿里巴巴普惠体 R"/>
          <w:b w:val="0"/>
          <w:bCs w:val="0"/>
          <w:color w:val="000000"/>
          <w:sz w:val="24"/>
        </w:rPr>
        <w:t>身份证号码:　　　　　　　　　　　　　　　　　　　　</w:t>
      </w:r>
    </w:p>
    <w:p>
      <w:pPr>
        <w:pStyle w:val="10"/>
        <w:rPr>
          <w:rFonts w:ascii="阿里巴巴普惠体 R" w:hAnsi="阿里巴巴普惠体 R" w:eastAsia="阿里巴巴普惠体 R" w:cs="阿里巴巴普惠体 R"/>
          <w:b w:val="0"/>
          <w:bCs w:val="0"/>
          <w:color w:val="000000"/>
          <w:sz w:val="24"/>
        </w:rPr>
      </w:pPr>
      <w:r>
        <w:rPr>
          <w:rFonts w:ascii="阿里巴巴普惠体 R" w:hAnsi="阿里巴巴普惠体 R" w:eastAsia="阿里巴巴普惠体 R" w:cs="阿里巴巴普惠体 R"/>
          <w:b w:val="0"/>
          <w:bCs w:val="0"/>
          <w:color w:val="000000"/>
          <w:sz w:val="24"/>
        </w:rPr>
        <w:t>联系电话：　　　　　　　　　　　　　　　　　　　　</w:t>
      </w:r>
    </w:p>
    <w:p>
      <w:pPr>
        <w:pStyle w:val="10"/>
        <w:rPr>
          <w:rFonts w:ascii="阿里巴巴普惠体 R" w:hAnsi="阿里巴巴普惠体 R" w:eastAsia="阿里巴巴普惠体 R" w:cs="阿里巴巴普惠体 R"/>
          <w:b w:val="0"/>
          <w:bCs w:val="0"/>
          <w:color w:val="000000"/>
          <w:sz w:val="24"/>
        </w:rPr>
      </w:pPr>
      <w:r>
        <w:rPr>
          <w:rFonts w:ascii="阿里巴巴普惠体 R" w:hAnsi="阿里巴巴普惠体 R" w:eastAsia="阿里巴巴普惠体 R" w:cs="阿里巴巴普惠体 R"/>
          <w:b w:val="0"/>
          <w:bCs w:val="0"/>
          <w:color w:val="000000"/>
          <w:sz w:val="24"/>
        </w:rPr>
        <w:t>鉴于，乙方担任</w:t>
      </w:r>
      <w:r>
        <w:rPr>
          <w:rFonts w:ascii="阿里巴巴普惠体 R" w:hAnsi="阿里巴巴普惠体 R" w:eastAsia="阿里巴巴普惠体 R" w:cs="阿里巴巴普惠体 R"/>
          <w:b w:val="0"/>
          <w:bCs w:val="0"/>
          <w:color w:val="000000"/>
          <w:sz w:val="24"/>
          <w:u w:val="single"/>
        </w:rPr>
        <w:t>　　　　</w:t>
      </w:r>
      <w:r>
        <w:rPr>
          <w:rFonts w:hint="eastAsia" w:ascii="阿里巴巴普惠体 R" w:hAnsi="阿里巴巴普惠体 R" w:eastAsia="阿里巴巴普惠体 R" w:cs="阿里巴巴普惠体 R"/>
          <w:b w:val="0"/>
          <w:bCs w:val="0"/>
          <w:color w:val="000000"/>
          <w:sz w:val="24"/>
          <w:u w:val="single"/>
        </w:rPr>
        <w:t xml:space="preserve">           </w:t>
      </w:r>
      <w:r>
        <w:rPr>
          <w:rFonts w:ascii="阿里巴巴普惠体 R" w:hAnsi="阿里巴巴普惠体 R" w:eastAsia="阿里巴巴普惠体 R" w:cs="阿里巴巴普惠体 R"/>
          <w:b w:val="0"/>
          <w:bCs w:val="0"/>
          <w:color w:val="000000"/>
          <w:sz w:val="24"/>
          <w:u w:val="single"/>
        </w:rPr>
        <w:t>　　</w:t>
      </w:r>
      <w:r>
        <w:rPr>
          <w:rFonts w:ascii="阿里巴巴普惠体 R" w:hAnsi="阿里巴巴普惠体 R" w:eastAsia="阿里巴巴普惠体 R" w:cs="阿里巴巴普惠体 R"/>
          <w:b w:val="0"/>
          <w:bCs w:val="0"/>
          <w:color w:val="000000"/>
          <w:sz w:val="24"/>
        </w:rPr>
        <w:t>这一职务。经双方协商同意，乙方在公司工作期间，除按照《劳动合同》约定享有工资报酬以外，还可按照本协议的约定享有公司期股。现就乙方在受聘期间享受期股待遇事宜签署本协议。</w:t>
      </w:r>
    </w:p>
    <w:p>
      <w:pPr>
        <w:pStyle w:val="10"/>
        <w:rPr>
          <w:rFonts w:ascii="阿里巴巴普惠体 R" w:hAnsi="阿里巴巴普惠体 R" w:eastAsia="阿里巴巴普惠体 R" w:cs="阿里巴巴普惠体 R"/>
          <w:b w:val="0"/>
          <w:bCs w:val="0"/>
          <w:color w:val="000000"/>
          <w:sz w:val="24"/>
        </w:rPr>
      </w:pPr>
      <w:r>
        <w:rPr>
          <w:rFonts w:ascii="阿里巴巴普惠体 R" w:hAnsi="阿里巴巴普惠体 R" w:eastAsia="阿里巴巴普惠体 R" w:cs="阿里巴巴普惠体 R"/>
          <w:b w:val="0"/>
          <w:bCs w:val="0"/>
          <w:color w:val="000000"/>
          <w:sz w:val="24"/>
        </w:rPr>
        <w:t>第一条 定义条款</w:t>
      </w:r>
    </w:p>
    <w:p>
      <w:pPr>
        <w:pStyle w:val="10"/>
        <w:rPr>
          <w:rFonts w:ascii="阿里巴巴普惠体 R" w:hAnsi="阿里巴巴普惠体 R" w:eastAsia="阿里巴巴普惠体 R" w:cs="阿里巴巴普惠体 R"/>
          <w:b w:val="0"/>
          <w:bCs w:val="0"/>
          <w:color w:val="000000"/>
          <w:sz w:val="24"/>
        </w:rPr>
      </w:pPr>
      <w:r>
        <w:rPr>
          <w:rFonts w:ascii="阿里巴巴普惠体 R" w:hAnsi="阿里巴巴普惠体 R" w:eastAsia="阿里巴巴普惠体 R" w:cs="阿里巴巴普惠体 R"/>
          <w:b w:val="0"/>
          <w:bCs w:val="0"/>
          <w:color w:val="000000"/>
          <w:sz w:val="24"/>
        </w:rPr>
        <w:t>1、期股：指在乙方与甲方劳动关系存续的前提下，甲方授予乙方在未来一定期限内以预先确定的价格和条件购买公司一定数量股权的权利。</w:t>
      </w:r>
    </w:p>
    <w:p>
      <w:pPr>
        <w:pStyle w:val="10"/>
        <w:rPr>
          <w:rFonts w:ascii="阿里巴巴普惠体 R" w:hAnsi="阿里巴巴普惠体 R" w:eastAsia="阿里巴巴普惠体 R" w:cs="阿里巴巴普惠体 R"/>
          <w:b w:val="0"/>
          <w:bCs w:val="0"/>
          <w:color w:val="000000"/>
          <w:sz w:val="24"/>
        </w:rPr>
      </w:pPr>
      <w:r>
        <w:rPr>
          <w:rFonts w:ascii="阿里巴巴普惠体 R" w:hAnsi="阿里巴巴普惠体 R" w:eastAsia="阿里巴巴普惠体 R" w:cs="阿里巴巴普惠体 R"/>
          <w:b w:val="0"/>
          <w:bCs w:val="0"/>
          <w:color w:val="000000"/>
          <w:sz w:val="24"/>
        </w:rPr>
        <w:t>2、标的股权、股权：指根据本协议，乙方持有的因认购期股所获得的公司股权。</w:t>
      </w:r>
    </w:p>
    <w:p>
      <w:pPr>
        <w:pStyle w:val="10"/>
        <w:rPr>
          <w:rFonts w:ascii="阿里巴巴普惠体 R" w:hAnsi="阿里巴巴普惠体 R" w:eastAsia="阿里巴巴普惠体 R" w:cs="阿里巴巴普惠体 R"/>
          <w:b w:val="0"/>
          <w:bCs w:val="0"/>
          <w:color w:val="000000"/>
          <w:sz w:val="24"/>
        </w:rPr>
      </w:pPr>
      <w:r>
        <w:rPr>
          <w:rFonts w:ascii="阿里巴巴普惠体 R" w:hAnsi="阿里巴巴普惠体 R" w:eastAsia="阿里巴巴普惠体 R" w:cs="阿里巴巴普惠体 R"/>
          <w:b w:val="0"/>
          <w:bCs w:val="0"/>
          <w:color w:val="000000"/>
          <w:sz w:val="24"/>
        </w:rPr>
        <w:t>3、认购：指乙方根据本协议在规定的期间内以预先确定的价格和条件购买公司股权的行为，包括以每股0元的价格购买，即为公司赠与。</w:t>
      </w:r>
    </w:p>
    <w:p>
      <w:pPr>
        <w:pStyle w:val="10"/>
        <w:rPr>
          <w:rFonts w:ascii="阿里巴巴普惠体 R" w:hAnsi="阿里巴巴普惠体 R" w:eastAsia="阿里巴巴普惠体 R" w:cs="阿里巴巴普惠体 R"/>
          <w:b w:val="0"/>
          <w:bCs w:val="0"/>
          <w:color w:val="000000"/>
          <w:sz w:val="24"/>
        </w:rPr>
      </w:pPr>
      <w:r>
        <w:rPr>
          <w:rFonts w:ascii="阿里巴巴普惠体 R" w:hAnsi="阿里巴巴普惠体 R" w:eastAsia="阿里巴巴普惠体 R" w:cs="阿里巴巴普惠体 R"/>
          <w:b w:val="0"/>
          <w:bCs w:val="0"/>
          <w:color w:val="000000"/>
          <w:sz w:val="24"/>
        </w:rPr>
        <w:t>4、认购价格：指公司向乙方授予期股时所确定的、乙方购买公司股权的价格。</w:t>
      </w:r>
    </w:p>
    <w:p>
      <w:pPr>
        <w:pStyle w:val="10"/>
        <w:rPr>
          <w:rFonts w:ascii="阿里巴巴普惠体 R" w:hAnsi="阿里巴巴普惠体 R" w:eastAsia="阿里巴巴普惠体 R" w:cs="阿里巴巴普惠体 R"/>
          <w:b w:val="0"/>
          <w:bCs w:val="0"/>
          <w:color w:val="000000"/>
          <w:sz w:val="24"/>
        </w:rPr>
      </w:pPr>
      <w:r>
        <w:rPr>
          <w:rFonts w:ascii="阿里巴巴普惠体 R" w:hAnsi="阿里巴巴普惠体 R" w:eastAsia="阿里巴巴普惠体 R" w:cs="阿里巴巴普惠体 R"/>
          <w:b w:val="0"/>
          <w:bCs w:val="0"/>
          <w:color w:val="000000"/>
          <w:sz w:val="24"/>
        </w:rPr>
        <w:t>5、认购额度：指乙方按照本协议约定的条件认购期股时可认购的公司股权数额。</w:t>
      </w:r>
    </w:p>
    <w:p>
      <w:pPr>
        <w:pStyle w:val="10"/>
        <w:rPr>
          <w:rFonts w:ascii="阿里巴巴普惠体 R" w:hAnsi="阿里巴巴普惠体 R" w:eastAsia="阿里巴巴普惠体 R" w:cs="阿里巴巴普惠体 R"/>
          <w:b w:val="0"/>
          <w:bCs w:val="0"/>
          <w:color w:val="000000"/>
          <w:sz w:val="24"/>
        </w:rPr>
      </w:pPr>
      <w:r>
        <w:rPr>
          <w:rFonts w:ascii="阿里巴巴普惠体 R" w:hAnsi="阿里巴巴普惠体 R" w:eastAsia="阿里巴巴普惠体 R" w:cs="阿里巴巴普惠体 R"/>
          <w:b w:val="0"/>
          <w:bCs w:val="0"/>
          <w:color w:val="000000"/>
          <w:sz w:val="24"/>
        </w:rPr>
        <w:t>第二条 期股数量及标的股权的来源</w:t>
      </w:r>
    </w:p>
    <w:p>
      <w:pPr>
        <w:pStyle w:val="10"/>
        <w:rPr>
          <w:rFonts w:ascii="阿里巴巴普惠体 R" w:hAnsi="阿里巴巴普惠体 R" w:eastAsia="阿里巴巴普惠体 R" w:cs="阿里巴巴普惠体 R"/>
          <w:b w:val="0"/>
          <w:bCs w:val="0"/>
          <w:color w:val="000000"/>
          <w:sz w:val="24"/>
        </w:rPr>
      </w:pPr>
      <w:r>
        <w:rPr>
          <w:rFonts w:ascii="阿里巴巴普惠体 R" w:hAnsi="阿里巴巴普惠体 R" w:eastAsia="阿里巴巴普惠体 R" w:cs="阿里巴巴普惠体 R"/>
          <w:b w:val="0"/>
          <w:bCs w:val="0"/>
          <w:color w:val="000000"/>
          <w:sz w:val="24"/>
        </w:rPr>
        <w:t>1、自本协议签订之日起，甲方授予乙方占公司注册资本</w:t>
      </w:r>
      <w:r>
        <w:rPr>
          <w:rFonts w:ascii="阿里巴巴普惠体 R" w:hAnsi="阿里巴巴普惠体 R" w:eastAsia="阿里巴巴普惠体 R" w:cs="阿里巴巴普惠体 R"/>
          <w:b w:val="0"/>
          <w:bCs w:val="0"/>
          <w:color w:val="000000"/>
          <w:sz w:val="24"/>
          <w:u w:val="single"/>
        </w:rPr>
        <w:t>　　　　</w:t>
      </w:r>
      <w:r>
        <w:rPr>
          <w:rFonts w:hint="eastAsia" w:ascii="阿里巴巴普惠体 R" w:hAnsi="阿里巴巴普惠体 R" w:eastAsia="阿里巴巴普惠体 R" w:cs="阿里巴巴普惠体 R"/>
          <w:b w:val="0"/>
          <w:bCs w:val="0"/>
          <w:color w:val="000000"/>
          <w:sz w:val="24"/>
          <w:u w:val="single"/>
        </w:rPr>
        <w:t xml:space="preserve">           </w:t>
      </w:r>
      <w:r>
        <w:rPr>
          <w:rFonts w:ascii="阿里巴巴普惠体 R" w:hAnsi="阿里巴巴普惠体 R" w:eastAsia="阿里巴巴普惠体 R" w:cs="阿里巴巴普惠体 R"/>
          <w:b w:val="0"/>
          <w:bCs w:val="0"/>
          <w:color w:val="000000"/>
          <w:sz w:val="24"/>
          <w:u w:val="single"/>
        </w:rPr>
        <w:t>　　</w:t>
      </w:r>
      <w:r>
        <w:rPr>
          <w:rFonts w:ascii="阿里巴巴普惠体 R" w:hAnsi="阿里巴巴普惠体 R" w:eastAsia="阿里巴巴普惠体 R" w:cs="阿里巴巴普惠体 R"/>
          <w:b w:val="0"/>
          <w:bCs w:val="0"/>
          <w:color w:val="000000"/>
          <w:sz w:val="24"/>
        </w:rPr>
        <w:t>%的期股。</w:t>
      </w:r>
    </w:p>
    <w:p>
      <w:pPr>
        <w:pStyle w:val="10"/>
        <w:rPr>
          <w:rFonts w:ascii="阿里巴巴普惠体 R" w:hAnsi="阿里巴巴普惠体 R" w:eastAsia="阿里巴巴普惠体 R" w:cs="阿里巴巴普惠体 R"/>
          <w:b w:val="0"/>
          <w:bCs w:val="0"/>
          <w:color w:val="000000"/>
          <w:sz w:val="24"/>
        </w:rPr>
      </w:pPr>
      <w:r>
        <w:rPr>
          <w:rFonts w:ascii="阿里巴巴普惠体 R" w:hAnsi="阿里巴巴普惠体 R" w:eastAsia="阿里巴巴普惠体 R" w:cs="阿里巴巴普惠体 R"/>
          <w:b w:val="0"/>
          <w:bCs w:val="0"/>
          <w:color w:val="000000"/>
          <w:sz w:val="24"/>
        </w:rPr>
        <w:t>2、乙方认购期股的有效期为</w:t>
      </w:r>
      <w:r>
        <w:rPr>
          <w:rFonts w:ascii="阿里巴巴普惠体 R" w:hAnsi="阿里巴巴普惠体 R" w:eastAsia="阿里巴巴普惠体 R" w:cs="阿里巴巴普惠体 R"/>
          <w:b w:val="0"/>
          <w:bCs w:val="0"/>
          <w:color w:val="000000"/>
          <w:sz w:val="24"/>
          <w:u w:val="single"/>
        </w:rPr>
        <w:t>　　　　</w:t>
      </w:r>
      <w:r>
        <w:rPr>
          <w:rFonts w:hint="eastAsia" w:ascii="阿里巴巴普惠体 R" w:hAnsi="阿里巴巴普惠体 R" w:eastAsia="阿里巴巴普惠体 R" w:cs="阿里巴巴普惠体 R"/>
          <w:b w:val="0"/>
          <w:bCs w:val="0"/>
          <w:color w:val="000000"/>
          <w:sz w:val="24"/>
          <w:u w:val="single"/>
        </w:rPr>
        <w:t xml:space="preserve">           </w:t>
      </w:r>
      <w:r>
        <w:rPr>
          <w:rFonts w:ascii="阿里巴巴普惠体 R" w:hAnsi="阿里巴巴普惠体 R" w:eastAsia="阿里巴巴普惠体 R" w:cs="阿里巴巴普惠体 R"/>
          <w:b w:val="0"/>
          <w:bCs w:val="0"/>
          <w:color w:val="000000"/>
          <w:sz w:val="24"/>
          <w:u w:val="single"/>
        </w:rPr>
        <w:t>　　</w:t>
      </w:r>
      <w:r>
        <w:rPr>
          <w:rFonts w:ascii="阿里巴巴普惠体 R" w:hAnsi="阿里巴巴普惠体 R" w:eastAsia="阿里巴巴普惠体 R" w:cs="阿里巴巴普惠体 R"/>
          <w:b w:val="0"/>
          <w:bCs w:val="0"/>
          <w:color w:val="000000"/>
          <w:sz w:val="24"/>
        </w:rPr>
        <w:t>个月，即乙方有权自本协议签订之日起</w:t>
      </w:r>
      <w:r>
        <w:rPr>
          <w:rFonts w:ascii="阿里巴巴普惠体 R" w:hAnsi="阿里巴巴普惠体 R" w:eastAsia="阿里巴巴普惠体 R" w:cs="阿里巴巴普惠体 R"/>
          <w:b w:val="0"/>
          <w:bCs w:val="0"/>
          <w:color w:val="000000"/>
          <w:sz w:val="24"/>
          <w:u w:val="single"/>
        </w:rPr>
        <w:t>　　　　</w:t>
      </w:r>
      <w:r>
        <w:rPr>
          <w:rFonts w:hint="eastAsia" w:ascii="阿里巴巴普惠体 R" w:hAnsi="阿里巴巴普惠体 R" w:eastAsia="阿里巴巴普惠体 R" w:cs="阿里巴巴普惠体 R"/>
          <w:b w:val="0"/>
          <w:bCs w:val="0"/>
          <w:color w:val="000000"/>
          <w:sz w:val="24"/>
          <w:u w:val="single"/>
        </w:rPr>
        <w:t xml:space="preserve">           </w:t>
      </w:r>
      <w:r>
        <w:rPr>
          <w:rFonts w:ascii="阿里巴巴普惠体 R" w:hAnsi="阿里巴巴普惠体 R" w:eastAsia="阿里巴巴普惠体 R" w:cs="阿里巴巴普惠体 R"/>
          <w:b w:val="0"/>
          <w:bCs w:val="0"/>
          <w:color w:val="000000"/>
          <w:sz w:val="24"/>
          <w:u w:val="single"/>
        </w:rPr>
        <w:t>　　</w:t>
      </w:r>
      <w:r>
        <w:rPr>
          <w:rFonts w:ascii="阿里巴巴普惠体 R" w:hAnsi="阿里巴巴普惠体 R" w:eastAsia="阿里巴巴普惠体 R" w:cs="阿里巴巴普惠体 R"/>
          <w:b w:val="0"/>
          <w:bCs w:val="0"/>
          <w:color w:val="000000"/>
          <w:sz w:val="24"/>
        </w:rPr>
        <w:t>个月内，按照其获授期股的数额以本协议约定的认购价格和认购条件购买公司股权。</w:t>
      </w:r>
    </w:p>
    <w:p>
      <w:pPr>
        <w:pStyle w:val="10"/>
        <w:rPr>
          <w:rFonts w:ascii="阿里巴巴普惠体 R" w:hAnsi="阿里巴巴普惠体 R" w:eastAsia="阿里巴巴普惠体 R" w:cs="阿里巴巴普惠体 R"/>
          <w:b w:val="0"/>
          <w:bCs w:val="0"/>
          <w:color w:val="000000"/>
          <w:sz w:val="24"/>
        </w:rPr>
      </w:pPr>
      <w:r>
        <w:rPr>
          <w:rFonts w:ascii="阿里巴巴普惠体 R" w:hAnsi="阿里巴巴普惠体 R" w:eastAsia="阿里巴巴普惠体 R" w:cs="阿里巴巴普惠体 R"/>
          <w:b w:val="0"/>
          <w:bCs w:val="0"/>
          <w:color w:val="000000"/>
          <w:sz w:val="24"/>
        </w:rPr>
        <w:t>3、本协议项下乙方认购期股的来源为甲方股东转让其所持有的公司股权形成，具体提供股权的股东及其提供股权份额由股东会决定。</w:t>
      </w:r>
    </w:p>
    <w:p>
      <w:pPr>
        <w:pStyle w:val="10"/>
        <w:rPr>
          <w:rFonts w:ascii="阿里巴巴普惠体 R" w:hAnsi="阿里巴巴普惠体 R" w:eastAsia="阿里巴巴普惠体 R" w:cs="阿里巴巴普惠体 R"/>
          <w:b w:val="0"/>
          <w:bCs w:val="0"/>
          <w:color w:val="000000"/>
          <w:sz w:val="24"/>
        </w:rPr>
      </w:pPr>
      <w:r>
        <w:rPr>
          <w:rFonts w:ascii="阿里巴巴普惠体 R" w:hAnsi="阿里巴巴普惠体 R" w:eastAsia="阿里巴巴普惠体 R" w:cs="阿里巴巴普惠体 R"/>
          <w:b w:val="0"/>
          <w:bCs w:val="0"/>
          <w:color w:val="000000"/>
          <w:sz w:val="24"/>
        </w:rPr>
        <w:t>第三条 期股认购价格</w:t>
      </w:r>
    </w:p>
    <w:p>
      <w:pPr>
        <w:pStyle w:val="10"/>
        <w:rPr>
          <w:rFonts w:ascii="阿里巴巴普惠体 R" w:hAnsi="阿里巴巴普惠体 R" w:eastAsia="阿里巴巴普惠体 R" w:cs="阿里巴巴普惠体 R"/>
          <w:b w:val="0"/>
          <w:bCs w:val="0"/>
          <w:color w:val="000000"/>
          <w:sz w:val="24"/>
        </w:rPr>
      </w:pPr>
      <w:r>
        <w:rPr>
          <w:rFonts w:ascii="阿里巴巴普惠体 R" w:hAnsi="阿里巴巴普惠体 R" w:eastAsia="阿里巴巴普惠体 R" w:cs="阿里巴巴普惠体 R"/>
          <w:b w:val="0"/>
          <w:bCs w:val="0"/>
          <w:color w:val="000000"/>
          <w:sz w:val="24"/>
        </w:rPr>
        <w:t>本协议项下期股的认购价格为</w:t>
      </w:r>
      <w:r>
        <w:rPr>
          <w:rFonts w:ascii="阿里巴巴普惠体 R" w:hAnsi="阿里巴巴普惠体 R" w:eastAsia="阿里巴巴普惠体 R" w:cs="阿里巴巴普惠体 R"/>
          <w:b w:val="0"/>
          <w:bCs w:val="0"/>
          <w:color w:val="000000"/>
          <w:sz w:val="24"/>
          <w:u w:val="single"/>
        </w:rPr>
        <w:t>　　　　</w:t>
      </w:r>
      <w:r>
        <w:rPr>
          <w:rFonts w:hint="eastAsia" w:ascii="阿里巴巴普惠体 R" w:hAnsi="阿里巴巴普惠体 R" w:eastAsia="阿里巴巴普惠体 R" w:cs="阿里巴巴普惠体 R"/>
          <w:b w:val="0"/>
          <w:bCs w:val="0"/>
          <w:color w:val="000000"/>
          <w:sz w:val="24"/>
          <w:u w:val="single"/>
        </w:rPr>
        <w:t xml:space="preserve">           </w:t>
      </w:r>
      <w:r>
        <w:rPr>
          <w:rFonts w:ascii="阿里巴巴普惠体 R" w:hAnsi="阿里巴巴普惠体 R" w:eastAsia="阿里巴巴普惠体 R" w:cs="阿里巴巴普惠体 R"/>
          <w:b w:val="0"/>
          <w:bCs w:val="0"/>
          <w:color w:val="000000"/>
          <w:sz w:val="24"/>
          <w:u w:val="single"/>
        </w:rPr>
        <w:t>　　</w:t>
      </w:r>
      <w:r>
        <w:rPr>
          <w:rFonts w:ascii="阿里巴巴普惠体 R" w:hAnsi="阿里巴巴普惠体 R" w:eastAsia="阿里巴巴普惠体 R" w:cs="阿里巴巴普惠体 R"/>
          <w:b w:val="0"/>
          <w:bCs w:val="0"/>
          <w:color w:val="000000"/>
          <w:sz w:val="24"/>
        </w:rPr>
        <w:t>元人民币（大写：</w:t>
      </w:r>
      <w:r>
        <w:rPr>
          <w:rFonts w:ascii="阿里巴巴普惠体 R" w:hAnsi="阿里巴巴普惠体 R" w:eastAsia="阿里巴巴普惠体 R" w:cs="阿里巴巴普惠体 R"/>
          <w:b w:val="0"/>
          <w:bCs w:val="0"/>
          <w:color w:val="000000"/>
          <w:sz w:val="24"/>
          <w:u w:val="single"/>
        </w:rPr>
        <w:t>　　　　</w:t>
      </w:r>
      <w:r>
        <w:rPr>
          <w:rFonts w:hint="eastAsia" w:ascii="阿里巴巴普惠体 R" w:hAnsi="阿里巴巴普惠体 R" w:eastAsia="阿里巴巴普惠体 R" w:cs="阿里巴巴普惠体 R"/>
          <w:b w:val="0"/>
          <w:bCs w:val="0"/>
          <w:color w:val="000000"/>
          <w:sz w:val="24"/>
          <w:u w:val="single"/>
        </w:rPr>
        <w:t xml:space="preserve">           </w:t>
      </w:r>
      <w:r>
        <w:rPr>
          <w:rFonts w:ascii="阿里巴巴普惠体 R" w:hAnsi="阿里巴巴普惠体 R" w:eastAsia="阿里巴巴普惠体 R" w:cs="阿里巴巴普惠体 R"/>
          <w:b w:val="0"/>
          <w:bCs w:val="0"/>
          <w:color w:val="000000"/>
          <w:sz w:val="24"/>
          <w:u w:val="single"/>
        </w:rPr>
        <w:t>　　</w:t>
      </w:r>
      <w:r>
        <w:rPr>
          <w:rFonts w:ascii="阿里巴巴普惠体 R" w:hAnsi="阿里巴巴普惠体 R" w:eastAsia="阿里巴巴普惠体 R" w:cs="阿里巴巴普惠体 R"/>
          <w:b w:val="0"/>
          <w:bCs w:val="0"/>
          <w:color w:val="000000"/>
          <w:sz w:val="24"/>
        </w:rPr>
        <w:t>），即满足认购条件后，乙方可以</w:t>
      </w:r>
      <w:r>
        <w:rPr>
          <w:rFonts w:ascii="阿里巴巴普惠体 R" w:hAnsi="阿里巴巴普惠体 R" w:eastAsia="阿里巴巴普惠体 R" w:cs="阿里巴巴普惠体 R"/>
          <w:b w:val="0"/>
          <w:bCs w:val="0"/>
          <w:color w:val="000000"/>
          <w:sz w:val="24"/>
          <w:u w:val="single"/>
        </w:rPr>
        <w:t>　　　　</w:t>
      </w:r>
      <w:r>
        <w:rPr>
          <w:rFonts w:hint="eastAsia" w:ascii="阿里巴巴普惠体 R" w:hAnsi="阿里巴巴普惠体 R" w:eastAsia="阿里巴巴普惠体 R" w:cs="阿里巴巴普惠体 R"/>
          <w:b w:val="0"/>
          <w:bCs w:val="0"/>
          <w:color w:val="000000"/>
          <w:sz w:val="24"/>
          <w:u w:val="single"/>
        </w:rPr>
        <w:t xml:space="preserve">           </w:t>
      </w:r>
      <w:r>
        <w:rPr>
          <w:rFonts w:ascii="阿里巴巴普惠体 R" w:hAnsi="阿里巴巴普惠体 R" w:eastAsia="阿里巴巴普惠体 R" w:cs="阿里巴巴普惠体 R"/>
          <w:b w:val="0"/>
          <w:bCs w:val="0"/>
          <w:color w:val="000000"/>
          <w:sz w:val="24"/>
          <w:u w:val="single"/>
        </w:rPr>
        <w:t>　　</w:t>
      </w:r>
      <w:r>
        <w:rPr>
          <w:rFonts w:ascii="阿里巴巴普惠体 R" w:hAnsi="阿里巴巴普惠体 R" w:eastAsia="阿里巴巴普惠体 R" w:cs="阿里巴巴普惠体 R"/>
          <w:b w:val="0"/>
          <w:bCs w:val="0"/>
          <w:color w:val="000000"/>
          <w:sz w:val="24"/>
        </w:rPr>
        <w:t>元人民币（大写：</w:t>
      </w:r>
      <w:r>
        <w:rPr>
          <w:rFonts w:ascii="阿里巴巴普惠体 R" w:hAnsi="阿里巴巴普惠体 R" w:eastAsia="阿里巴巴普惠体 R" w:cs="阿里巴巴普惠体 R"/>
          <w:b w:val="0"/>
          <w:bCs w:val="0"/>
          <w:color w:val="000000"/>
          <w:sz w:val="24"/>
          <w:u w:val="single"/>
        </w:rPr>
        <w:t>　　　　</w:t>
      </w:r>
      <w:r>
        <w:rPr>
          <w:rFonts w:hint="eastAsia" w:ascii="阿里巴巴普惠体 R" w:hAnsi="阿里巴巴普惠体 R" w:eastAsia="阿里巴巴普惠体 R" w:cs="阿里巴巴普惠体 R"/>
          <w:b w:val="0"/>
          <w:bCs w:val="0"/>
          <w:color w:val="000000"/>
          <w:sz w:val="24"/>
          <w:u w:val="single"/>
        </w:rPr>
        <w:t xml:space="preserve">           </w:t>
      </w:r>
      <w:r>
        <w:rPr>
          <w:rFonts w:ascii="阿里巴巴普惠体 R" w:hAnsi="阿里巴巴普惠体 R" w:eastAsia="阿里巴巴普惠体 R" w:cs="阿里巴巴普惠体 R"/>
          <w:b w:val="0"/>
          <w:bCs w:val="0"/>
          <w:color w:val="000000"/>
          <w:sz w:val="24"/>
          <w:u w:val="single"/>
        </w:rPr>
        <w:t>　　</w:t>
      </w:r>
      <w:r>
        <w:rPr>
          <w:rFonts w:ascii="阿里巴巴普惠体 R" w:hAnsi="阿里巴巴普惠体 R" w:eastAsia="阿里巴巴普惠体 R" w:cs="阿里巴巴普惠体 R"/>
          <w:b w:val="0"/>
          <w:bCs w:val="0"/>
          <w:color w:val="000000"/>
          <w:sz w:val="24"/>
        </w:rPr>
        <w:t>）的价格购买获授的公司股权。</w:t>
      </w:r>
    </w:p>
    <w:p>
      <w:pPr>
        <w:pStyle w:val="10"/>
        <w:rPr>
          <w:rFonts w:ascii="阿里巴巴普惠体 R" w:hAnsi="阿里巴巴普惠体 R" w:eastAsia="阿里巴巴普惠体 R" w:cs="阿里巴巴普惠体 R"/>
          <w:b w:val="0"/>
          <w:bCs w:val="0"/>
          <w:color w:val="000000"/>
          <w:sz w:val="24"/>
        </w:rPr>
      </w:pPr>
      <w:r>
        <w:rPr>
          <w:rFonts w:ascii="阿里巴巴普惠体 R" w:hAnsi="阿里巴巴普惠体 R" w:eastAsia="阿里巴巴普惠体 R" w:cs="阿里巴巴普惠体 R"/>
          <w:b w:val="0"/>
          <w:bCs w:val="0"/>
          <w:color w:val="000000"/>
          <w:sz w:val="24"/>
        </w:rPr>
        <w:t>第四条 认购条件</w:t>
      </w:r>
    </w:p>
    <w:p>
      <w:pPr>
        <w:pStyle w:val="10"/>
        <w:rPr>
          <w:rFonts w:ascii="阿里巴巴普惠体 R" w:hAnsi="阿里巴巴普惠体 R" w:eastAsia="阿里巴巴普惠体 R" w:cs="阿里巴巴普惠体 R"/>
          <w:b w:val="0"/>
          <w:bCs w:val="0"/>
          <w:color w:val="000000"/>
          <w:sz w:val="24"/>
        </w:rPr>
      </w:pPr>
      <w:r>
        <w:rPr>
          <w:rFonts w:ascii="阿里巴巴普惠体 R" w:hAnsi="阿里巴巴普惠体 R" w:eastAsia="阿里巴巴普惠体 R" w:cs="阿里巴巴普惠体 R"/>
          <w:b w:val="0"/>
          <w:bCs w:val="0"/>
          <w:color w:val="000000"/>
          <w:sz w:val="24"/>
        </w:rPr>
        <w:t>乙方满足下列条件的可认购其获准认购的期股额度：</w:t>
      </w:r>
    </w:p>
    <w:p>
      <w:pPr>
        <w:pStyle w:val="10"/>
        <w:rPr>
          <w:rFonts w:ascii="阿里巴巴普惠体 R" w:hAnsi="阿里巴巴普惠体 R" w:eastAsia="阿里巴巴普惠体 R" w:cs="阿里巴巴普惠体 R"/>
          <w:b w:val="0"/>
          <w:bCs w:val="0"/>
          <w:color w:val="000000"/>
          <w:sz w:val="24"/>
        </w:rPr>
      </w:pPr>
      <w:r>
        <w:rPr>
          <w:rFonts w:ascii="阿里巴巴普惠体 R" w:hAnsi="阿里巴巴普惠体 R" w:eastAsia="阿里巴巴普惠体 R" w:cs="阿里巴巴普惠体 R"/>
          <w:b w:val="0"/>
          <w:bCs w:val="0"/>
          <w:color w:val="000000"/>
          <w:sz w:val="24"/>
        </w:rPr>
        <w:t>（1） 乙方担任公司的高级管理人员（公司部门经理及以上职务）、核心员工，在公司全职工作并领取薪酬；</w:t>
      </w:r>
    </w:p>
    <w:p>
      <w:pPr>
        <w:pStyle w:val="10"/>
        <w:rPr>
          <w:rFonts w:ascii="阿里巴巴普惠体 R" w:hAnsi="阿里巴巴普惠体 R" w:eastAsia="阿里巴巴普惠体 R" w:cs="阿里巴巴普惠体 R"/>
          <w:b w:val="0"/>
          <w:bCs w:val="0"/>
          <w:color w:val="000000"/>
          <w:sz w:val="24"/>
        </w:rPr>
      </w:pPr>
      <w:r>
        <w:rPr>
          <w:rFonts w:ascii="阿里巴巴普惠体 R" w:hAnsi="阿里巴巴普惠体 R" w:eastAsia="阿里巴巴普惠体 R" w:cs="阿里巴巴普惠体 R"/>
          <w:b w:val="0"/>
          <w:bCs w:val="0"/>
          <w:color w:val="000000"/>
          <w:sz w:val="24"/>
        </w:rPr>
        <w:t>（2） 能够达到所聘工作岗位的具体职责要求。</w:t>
      </w:r>
    </w:p>
    <w:p>
      <w:pPr>
        <w:pStyle w:val="10"/>
        <w:rPr>
          <w:rFonts w:ascii="阿里巴巴普惠体 R" w:hAnsi="阿里巴巴普惠体 R" w:eastAsia="阿里巴巴普惠体 R" w:cs="阿里巴巴普惠体 R"/>
          <w:b w:val="0"/>
          <w:bCs w:val="0"/>
          <w:color w:val="000000"/>
          <w:sz w:val="24"/>
        </w:rPr>
      </w:pPr>
      <w:r>
        <w:rPr>
          <w:rFonts w:ascii="阿里巴巴普惠体 R" w:hAnsi="阿里巴巴普惠体 R" w:eastAsia="阿里巴巴普惠体 R" w:cs="阿里巴巴普惠体 R"/>
          <w:b w:val="0"/>
          <w:bCs w:val="0"/>
          <w:color w:val="000000"/>
          <w:sz w:val="24"/>
        </w:rPr>
        <w:t>第五条 认购方式</w:t>
      </w:r>
    </w:p>
    <w:p>
      <w:pPr>
        <w:pStyle w:val="10"/>
        <w:rPr>
          <w:rFonts w:ascii="阿里巴巴普惠体 R" w:hAnsi="阿里巴巴普惠体 R" w:eastAsia="阿里巴巴普惠体 R" w:cs="阿里巴巴普惠体 R"/>
          <w:b w:val="0"/>
          <w:bCs w:val="0"/>
          <w:color w:val="000000"/>
          <w:sz w:val="24"/>
        </w:rPr>
      </w:pPr>
      <w:r>
        <w:rPr>
          <w:rFonts w:ascii="阿里巴巴普惠体 R" w:hAnsi="阿里巴巴普惠体 R" w:eastAsia="阿里巴巴普惠体 R" w:cs="阿里巴巴普惠体 R"/>
          <w:b w:val="0"/>
          <w:bCs w:val="0"/>
          <w:color w:val="000000"/>
          <w:sz w:val="24"/>
        </w:rPr>
        <w:t>1、乙方分期认购的次数，以及每次的认购时间、认购期股占获授期股的比例和认购价款如下：</w:t>
      </w:r>
    </w:p>
    <w:tbl>
      <w:tblPr>
        <w:tblStyle w:val="13"/>
        <w:tblW w:w="8461" w:type="dxa"/>
        <w:tblInd w:w="0" w:type="dxa"/>
        <w:tblBorders>
          <w:top w:val="single" w:color="DDDDDD" w:sz="6" w:space="0"/>
          <w:left w:val="single" w:color="DDDDDD" w:sz="6" w:space="0"/>
          <w:bottom w:val="single" w:color="DDDDDD" w:sz="6" w:space="0"/>
          <w:right w:val="single" w:color="DDDDDD" w:sz="6" w:space="0"/>
          <w:insideH w:val="single" w:color="DDDDDD" w:sz="6" w:space="0"/>
          <w:insideV w:val="single" w:color="DDDDDD" w:sz="6" w:space="0"/>
        </w:tblBorders>
        <w:tblLayout w:type="fixed"/>
        <w:tblCellMar>
          <w:top w:w="80" w:type="dxa"/>
          <w:left w:w="80" w:type="dxa"/>
          <w:bottom w:w="80" w:type="dxa"/>
          <w:right w:w="80" w:type="dxa"/>
        </w:tblCellMar>
      </w:tblPr>
      <w:tblGrid>
        <w:gridCol w:w="2050"/>
        <w:gridCol w:w="2051"/>
        <w:gridCol w:w="2051"/>
        <w:gridCol w:w="2309"/>
      </w:tblGrid>
      <w:tr>
        <w:tblPrEx>
          <w:tblBorders>
            <w:top w:val="single" w:color="DDDDDD" w:sz="6" w:space="0"/>
            <w:left w:val="single" w:color="DDDDDD" w:sz="6" w:space="0"/>
            <w:bottom w:val="single" w:color="DDDDDD" w:sz="6" w:space="0"/>
            <w:right w:val="single" w:color="DDDDDD" w:sz="6" w:space="0"/>
            <w:insideH w:val="single" w:color="DDDDDD" w:sz="6" w:space="0"/>
            <w:insideV w:val="single" w:color="DDDDDD" w:sz="6" w:space="0"/>
          </w:tblBorders>
          <w:tblLayout w:type="fixed"/>
          <w:tblCellMar>
            <w:top w:w="80" w:type="dxa"/>
            <w:left w:w="80" w:type="dxa"/>
            <w:bottom w:w="80" w:type="dxa"/>
            <w:right w:w="80" w:type="dxa"/>
          </w:tblCellMar>
        </w:tblPrEx>
        <w:trPr>
          <w:trHeight w:val="428" w:hRule="atLeast"/>
        </w:trPr>
        <w:tc>
          <w:tcPr>
            <w:tcW w:w="2050" w:type="dxa"/>
            <w:vMerge w:val="restart"/>
            <w:vAlign w:val="center"/>
          </w:tcPr>
          <w:p>
            <w:pPr>
              <w:rPr>
                <w:rFonts w:ascii="阿里巴巴普惠体 R" w:hAnsi="阿里巴巴普惠体 R" w:eastAsia="阿里巴巴普惠体 R" w:cs="阿里巴巴普惠体 R"/>
                <w:b w:val="0"/>
                <w:bCs w:val="0"/>
                <w:color w:val="000000"/>
                <w:sz w:val="24"/>
              </w:rPr>
            </w:pPr>
            <w:r>
              <w:rPr>
                <w:rFonts w:ascii="阿里巴巴普惠体 R" w:hAnsi="阿里巴巴普惠体 R" w:eastAsia="阿里巴巴普惠体 R" w:cs="阿里巴巴普惠体 R"/>
                <w:b w:val="0"/>
                <w:bCs w:val="0"/>
                <w:color w:val="000000"/>
                <w:sz w:val="24"/>
              </w:rPr>
              <w:t>期数</w:t>
            </w:r>
          </w:p>
        </w:tc>
        <w:tc>
          <w:tcPr>
            <w:tcW w:w="2051" w:type="dxa"/>
            <w:vMerge w:val="restart"/>
            <w:vAlign w:val="center"/>
          </w:tcPr>
          <w:p>
            <w:pPr>
              <w:rPr>
                <w:rFonts w:ascii="阿里巴巴普惠体 R" w:hAnsi="阿里巴巴普惠体 R" w:eastAsia="阿里巴巴普惠体 R" w:cs="阿里巴巴普惠体 R"/>
                <w:b w:val="0"/>
                <w:bCs w:val="0"/>
                <w:color w:val="000000"/>
                <w:sz w:val="24"/>
              </w:rPr>
            </w:pPr>
            <w:r>
              <w:rPr>
                <w:rFonts w:ascii="阿里巴巴普惠体 R" w:hAnsi="阿里巴巴普惠体 R" w:eastAsia="阿里巴巴普惠体 R" w:cs="阿里巴巴普惠体 R"/>
                <w:b w:val="0"/>
                <w:bCs w:val="0"/>
                <w:color w:val="000000"/>
                <w:sz w:val="24"/>
              </w:rPr>
              <w:t>认购期限</w:t>
            </w:r>
          </w:p>
        </w:tc>
        <w:tc>
          <w:tcPr>
            <w:tcW w:w="2051" w:type="dxa"/>
            <w:vMerge w:val="restart"/>
            <w:vAlign w:val="center"/>
          </w:tcPr>
          <w:p>
            <w:pPr>
              <w:rPr>
                <w:rFonts w:ascii="阿里巴巴普惠体 R" w:hAnsi="阿里巴巴普惠体 R" w:eastAsia="阿里巴巴普惠体 R" w:cs="阿里巴巴普惠体 R"/>
                <w:b w:val="0"/>
                <w:bCs w:val="0"/>
                <w:color w:val="000000"/>
                <w:sz w:val="24"/>
              </w:rPr>
            </w:pPr>
            <w:r>
              <w:rPr>
                <w:rFonts w:ascii="阿里巴巴普惠体 R" w:hAnsi="阿里巴巴普惠体 R" w:eastAsia="阿里巴巴普惠体 R" w:cs="阿里巴巴普惠体 R"/>
                <w:b w:val="0"/>
                <w:bCs w:val="0"/>
                <w:color w:val="000000"/>
                <w:sz w:val="24"/>
              </w:rPr>
              <w:t>认购比例</w:t>
            </w:r>
          </w:p>
        </w:tc>
        <w:tc>
          <w:tcPr>
            <w:tcW w:w="2309" w:type="dxa"/>
            <w:vMerge w:val="restart"/>
            <w:vAlign w:val="center"/>
          </w:tcPr>
          <w:p>
            <w:pPr>
              <w:rPr>
                <w:rFonts w:ascii="阿里巴巴普惠体 R" w:hAnsi="阿里巴巴普惠体 R" w:eastAsia="阿里巴巴普惠体 R" w:cs="阿里巴巴普惠体 R"/>
                <w:b w:val="0"/>
                <w:bCs w:val="0"/>
                <w:color w:val="000000"/>
                <w:sz w:val="24"/>
              </w:rPr>
            </w:pPr>
            <w:r>
              <w:rPr>
                <w:rFonts w:ascii="阿里巴巴普惠体 R" w:hAnsi="阿里巴巴普惠体 R" w:eastAsia="阿里巴巴普惠体 R" w:cs="阿里巴巴普惠体 R"/>
                <w:b w:val="0"/>
                <w:bCs w:val="0"/>
                <w:color w:val="000000"/>
                <w:sz w:val="24"/>
              </w:rPr>
              <w:t>认购价款</w:t>
            </w:r>
          </w:p>
        </w:tc>
      </w:tr>
      <w:tr>
        <w:tblPrEx>
          <w:tblBorders>
            <w:top w:val="single" w:color="DDDDDD" w:sz="6" w:space="0"/>
            <w:left w:val="single" w:color="DDDDDD" w:sz="6" w:space="0"/>
            <w:bottom w:val="single" w:color="DDDDDD" w:sz="6" w:space="0"/>
            <w:right w:val="single" w:color="DDDDDD" w:sz="6" w:space="0"/>
            <w:insideH w:val="single" w:color="DDDDDD" w:sz="6" w:space="0"/>
            <w:insideV w:val="single" w:color="DDDDDD" w:sz="6" w:space="0"/>
          </w:tblBorders>
          <w:tblLayout w:type="fixed"/>
          <w:tblCellMar>
            <w:top w:w="80" w:type="dxa"/>
            <w:left w:w="80" w:type="dxa"/>
            <w:bottom w:w="80" w:type="dxa"/>
            <w:right w:w="80" w:type="dxa"/>
          </w:tblCellMar>
        </w:tblPrEx>
        <w:tc>
          <w:tcPr>
            <w:tcW w:w="2050" w:type="dxa"/>
            <w:vAlign w:val="center"/>
          </w:tcPr>
          <w:p>
            <w:pPr>
              <w:rPr>
                <w:rFonts w:ascii="阿里巴巴普惠体 R" w:hAnsi="阿里巴巴普惠体 R" w:eastAsia="阿里巴巴普惠体 R" w:cs="阿里巴巴普惠体 R"/>
                <w:b w:val="0"/>
                <w:bCs w:val="0"/>
                <w:color w:val="000000"/>
                <w:sz w:val="24"/>
              </w:rPr>
            </w:pPr>
            <w:r>
              <w:rPr>
                <w:rFonts w:ascii="阿里巴巴普惠体 R" w:hAnsi="阿里巴巴普惠体 R" w:eastAsia="阿里巴巴普惠体 R" w:cs="阿里巴巴普惠体 R"/>
                <w:b w:val="0"/>
                <w:bCs w:val="0"/>
                <w:color w:val="000000"/>
                <w:sz w:val="24"/>
              </w:rPr>
              <w:t>第1期</w:t>
            </w:r>
          </w:p>
        </w:tc>
        <w:tc>
          <w:tcPr>
            <w:tcW w:w="2051" w:type="dxa"/>
            <w:vAlign w:val="center"/>
          </w:tcPr>
          <w:p>
            <w:pPr>
              <w:rPr>
                <w:rFonts w:ascii="阿里巴巴普惠体 R" w:hAnsi="阿里巴巴普惠体 R" w:eastAsia="阿里巴巴普惠体 R" w:cs="阿里巴巴普惠体 R"/>
                <w:b w:val="0"/>
                <w:bCs w:val="0"/>
                <w:color w:val="000000"/>
                <w:sz w:val="24"/>
              </w:rPr>
            </w:pPr>
            <w:r>
              <w:rPr>
                <w:rFonts w:ascii="阿里巴巴普惠体 R" w:hAnsi="阿里巴巴普惠体 R" w:eastAsia="阿里巴巴普惠体 R" w:cs="阿里巴巴普惠体 R"/>
                <w:b w:val="0"/>
                <w:bCs w:val="0"/>
                <w:color w:val="000000"/>
                <w:sz w:val="24"/>
              </w:rPr>
              <w:t>自　　　年　　　月　　　日至　　　年　　　月　　　日</w:t>
            </w:r>
          </w:p>
        </w:tc>
        <w:tc>
          <w:tcPr>
            <w:tcW w:w="2051" w:type="dxa"/>
            <w:vAlign w:val="center"/>
          </w:tcPr>
          <w:p>
            <w:pPr>
              <w:rPr>
                <w:rFonts w:ascii="阿里巴巴普惠体 R" w:hAnsi="阿里巴巴普惠体 R" w:eastAsia="阿里巴巴普惠体 R" w:cs="阿里巴巴普惠体 R"/>
                <w:b w:val="0"/>
                <w:bCs w:val="0"/>
                <w:color w:val="000000"/>
                <w:sz w:val="24"/>
              </w:rPr>
            </w:pPr>
            <w:r>
              <w:rPr>
                <w:rFonts w:ascii="阿里巴巴普惠体 R" w:hAnsi="阿里巴巴普惠体 R" w:eastAsia="阿里巴巴普惠体 R" w:cs="阿里巴巴普惠体 R"/>
                <w:b w:val="0"/>
                <w:bCs w:val="0"/>
                <w:color w:val="000000"/>
                <w:sz w:val="24"/>
              </w:rPr>
              <w:t>　　　　　　%</w:t>
            </w:r>
          </w:p>
        </w:tc>
        <w:tc>
          <w:tcPr>
            <w:tcW w:w="2309" w:type="dxa"/>
            <w:vAlign w:val="center"/>
          </w:tcPr>
          <w:p>
            <w:pPr>
              <w:rPr>
                <w:rFonts w:ascii="阿里巴巴普惠体 R" w:hAnsi="阿里巴巴普惠体 R" w:eastAsia="阿里巴巴普惠体 R" w:cs="阿里巴巴普惠体 R"/>
                <w:b w:val="0"/>
                <w:bCs w:val="0"/>
                <w:color w:val="000000"/>
                <w:sz w:val="24"/>
              </w:rPr>
            </w:pPr>
            <w:r>
              <w:rPr>
                <w:rFonts w:ascii="阿里巴巴普惠体 R" w:hAnsi="阿里巴巴普惠体 R" w:eastAsia="阿里巴巴普惠体 R" w:cs="阿里巴巴普惠体 R"/>
                <w:b w:val="0"/>
                <w:bCs w:val="0"/>
                <w:color w:val="000000"/>
                <w:sz w:val="24"/>
              </w:rPr>
              <w:t>　　　　　　元人民币（大写：　　　　　　　　　　　　）</w:t>
            </w:r>
          </w:p>
        </w:tc>
      </w:tr>
    </w:tbl>
    <w:p>
      <w:pPr>
        <w:pStyle w:val="10"/>
        <w:rPr>
          <w:rFonts w:ascii="阿里巴巴普惠体 R" w:hAnsi="阿里巴巴普惠体 R" w:eastAsia="阿里巴巴普惠体 R" w:cs="阿里巴巴普惠体 R"/>
          <w:b w:val="0"/>
          <w:bCs w:val="0"/>
          <w:color w:val="000000"/>
          <w:sz w:val="24"/>
        </w:rPr>
      </w:pPr>
      <w:r>
        <w:rPr>
          <w:rFonts w:ascii="阿里巴巴普惠体 R" w:hAnsi="阿里巴巴普惠体 R" w:eastAsia="阿里巴巴普惠体 R" w:cs="阿里巴巴普惠体 R"/>
          <w:b w:val="0"/>
          <w:bCs w:val="0"/>
          <w:color w:val="000000"/>
          <w:sz w:val="24"/>
        </w:rPr>
        <w:t>2、乙方在支付全部期股购买价款前，乙方获授期股每年所获分红收益应优先用于支付期股购买价款，认购期股后剩余的分红收益由乙方自行支配。若当年期股分红收益不足以支付当期期股购买价款的，乙方可用现金购买。</w:t>
      </w:r>
    </w:p>
    <w:p>
      <w:pPr>
        <w:pStyle w:val="10"/>
        <w:rPr>
          <w:rFonts w:ascii="阿里巴巴普惠体 R" w:hAnsi="阿里巴巴普惠体 R" w:eastAsia="阿里巴巴普惠体 R" w:cs="阿里巴巴普惠体 R"/>
          <w:b w:val="0"/>
          <w:bCs w:val="0"/>
          <w:color w:val="000000"/>
          <w:sz w:val="24"/>
        </w:rPr>
      </w:pPr>
      <w:r>
        <w:rPr>
          <w:rFonts w:ascii="阿里巴巴普惠体 R" w:hAnsi="阿里巴巴普惠体 R" w:eastAsia="阿里巴巴普惠体 R" w:cs="阿里巴巴普惠体 R"/>
          <w:b w:val="0"/>
          <w:bCs w:val="0"/>
          <w:color w:val="000000"/>
          <w:sz w:val="24"/>
        </w:rPr>
        <w:t>3、经甲方同意，乙方可以按照其他规定，在第一次认购后以期股所获分红收益对剩余可认购的期股提前进行认购，或者在以所获分红收益直接认购后，将当期剩余应认购的期股比例全部或部分累积至下期认购，但最迟应该在最后一次认购认购完毕。</w:t>
      </w:r>
    </w:p>
    <w:p>
      <w:pPr>
        <w:pStyle w:val="10"/>
        <w:rPr>
          <w:rFonts w:ascii="阿里巴巴普惠体 R" w:hAnsi="阿里巴巴普惠体 R" w:eastAsia="阿里巴巴普惠体 R" w:cs="阿里巴巴普惠体 R"/>
          <w:b w:val="0"/>
          <w:bCs w:val="0"/>
          <w:color w:val="000000"/>
          <w:sz w:val="24"/>
        </w:rPr>
      </w:pPr>
      <w:r>
        <w:rPr>
          <w:rFonts w:ascii="阿里巴巴普惠体 R" w:hAnsi="阿里巴巴普惠体 R" w:eastAsia="阿里巴巴普惠体 R" w:cs="阿里巴巴普惠体 R"/>
          <w:b w:val="0"/>
          <w:bCs w:val="0"/>
          <w:color w:val="000000"/>
          <w:sz w:val="24"/>
        </w:rPr>
        <w:t>4、乙方应在本协议签订之日起至期限届满日认购完毕全部获授期股，上述期限届满时乙方未认购的期股视为乙方自行放弃认购，乙方不享有未认购部分期股的任何权益。</w:t>
      </w:r>
    </w:p>
    <w:p>
      <w:pPr>
        <w:pStyle w:val="10"/>
        <w:rPr>
          <w:rFonts w:ascii="阿里巴巴普惠体 R" w:hAnsi="阿里巴巴普惠体 R" w:eastAsia="阿里巴巴普惠体 R" w:cs="阿里巴巴普惠体 R"/>
          <w:b w:val="0"/>
          <w:bCs w:val="0"/>
          <w:color w:val="000000"/>
          <w:sz w:val="24"/>
        </w:rPr>
      </w:pPr>
      <w:r>
        <w:rPr>
          <w:rFonts w:ascii="阿里巴巴普惠体 R" w:hAnsi="阿里巴巴普惠体 R" w:eastAsia="阿里巴巴普惠体 R" w:cs="阿里巴巴普惠体 R"/>
          <w:b w:val="0"/>
          <w:bCs w:val="0"/>
          <w:color w:val="000000"/>
          <w:sz w:val="24"/>
        </w:rPr>
        <w:t>第六条 期股的利润分配</w:t>
      </w:r>
    </w:p>
    <w:p>
      <w:pPr>
        <w:pStyle w:val="10"/>
        <w:rPr>
          <w:rFonts w:ascii="阿里巴巴普惠体 R" w:hAnsi="阿里巴巴普惠体 R" w:eastAsia="阿里巴巴普惠体 R" w:cs="阿里巴巴普惠体 R"/>
          <w:b w:val="0"/>
          <w:bCs w:val="0"/>
          <w:color w:val="000000"/>
          <w:sz w:val="24"/>
        </w:rPr>
      </w:pPr>
      <w:r>
        <w:rPr>
          <w:rFonts w:ascii="阿里巴巴普惠体 R" w:hAnsi="阿里巴巴普惠体 R" w:eastAsia="阿里巴巴普惠体 R" w:cs="阿里巴巴普惠体 R"/>
          <w:b w:val="0"/>
          <w:bCs w:val="0"/>
          <w:color w:val="000000"/>
          <w:sz w:val="24"/>
        </w:rPr>
        <w:t>1、在支付全部期股购买价款及股权过户之前，乙方对其所获授期股所对应的股权只享有分红收益权，不享有表决权和所有权。待全额期股购买价款支付完毕并办理股权过户等工商变更登记后，其所持有的股权的表决权、收益权和所有权属于乙方所有。</w:t>
      </w:r>
    </w:p>
    <w:p>
      <w:pPr>
        <w:pStyle w:val="10"/>
        <w:rPr>
          <w:rFonts w:ascii="阿里巴巴普惠体 R" w:hAnsi="阿里巴巴普惠体 R" w:eastAsia="阿里巴巴普惠体 R" w:cs="阿里巴巴普惠体 R"/>
          <w:b w:val="0"/>
          <w:bCs w:val="0"/>
          <w:color w:val="000000"/>
          <w:sz w:val="24"/>
        </w:rPr>
      </w:pPr>
      <w:r>
        <w:rPr>
          <w:rFonts w:ascii="阿里巴巴普惠体 R" w:hAnsi="阿里巴巴普惠体 R" w:eastAsia="阿里巴巴普惠体 R" w:cs="阿里巴巴普惠体 R"/>
          <w:b w:val="0"/>
          <w:bCs w:val="0"/>
          <w:color w:val="000000"/>
          <w:sz w:val="24"/>
        </w:rPr>
        <w:t>2、收益分配条件：</w:t>
      </w:r>
    </w:p>
    <w:p>
      <w:pPr>
        <w:pStyle w:val="10"/>
        <w:rPr>
          <w:rFonts w:ascii="阿里巴巴普惠体 R" w:hAnsi="阿里巴巴普惠体 R" w:eastAsia="阿里巴巴普惠体 R" w:cs="阿里巴巴普惠体 R"/>
          <w:b w:val="0"/>
          <w:bCs w:val="0"/>
          <w:color w:val="000000"/>
          <w:sz w:val="24"/>
        </w:rPr>
      </w:pPr>
      <w:r>
        <w:rPr>
          <w:rFonts w:ascii="阿里巴巴普惠体 R" w:hAnsi="阿里巴巴普惠体 R" w:eastAsia="阿里巴巴普惠体 R" w:cs="阿里巴巴普惠体 R"/>
          <w:b w:val="0"/>
          <w:bCs w:val="0"/>
          <w:color w:val="000000"/>
          <w:sz w:val="24"/>
        </w:rPr>
        <w:t>（1）公司整体业绩条件：公司股东会决议制定的当年公司整体业绩指标达标的，乙方可享有相应的期股收益。</w:t>
      </w:r>
    </w:p>
    <w:p>
      <w:pPr>
        <w:pStyle w:val="10"/>
        <w:rPr>
          <w:rFonts w:ascii="阿里巴巴普惠体 R" w:hAnsi="阿里巴巴普惠体 R" w:eastAsia="阿里巴巴普惠体 R" w:cs="阿里巴巴普惠体 R"/>
          <w:b w:val="0"/>
          <w:bCs w:val="0"/>
          <w:color w:val="000000"/>
          <w:sz w:val="24"/>
        </w:rPr>
      </w:pPr>
      <w:r>
        <w:rPr>
          <w:rFonts w:ascii="阿里巴巴普惠体 R" w:hAnsi="阿里巴巴普惠体 R" w:eastAsia="阿里巴巴普惠体 R" w:cs="阿里巴巴普惠体 R"/>
          <w:b w:val="0"/>
          <w:bCs w:val="0"/>
          <w:color w:val="000000"/>
          <w:sz w:val="24"/>
        </w:rPr>
        <w:t>（2）乙方个人业绩条件：根据本协议约定乙方的个人业绩指标对乙方进行考评，考评结果分为优秀、良好、一般、需改进和不合格，分别对应不同的分红系数。</w:t>
      </w:r>
    </w:p>
    <w:p>
      <w:pPr>
        <w:pStyle w:val="10"/>
        <w:rPr>
          <w:rFonts w:ascii="阿里巴巴普惠体 R" w:hAnsi="阿里巴巴普惠体 R" w:eastAsia="阿里巴巴普惠体 R" w:cs="阿里巴巴普惠体 R"/>
          <w:b w:val="0"/>
          <w:bCs w:val="0"/>
          <w:color w:val="000000"/>
          <w:sz w:val="24"/>
        </w:rPr>
      </w:pPr>
      <w:r>
        <w:rPr>
          <w:rFonts w:ascii="阿里巴巴普惠体 R" w:hAnsi="阿里巴巴普惠体 R" w:eastAsia="阿里巴巴普惠体 R" w:cs="阿里巴巴普惠体 R"/>
          <w:b w:val="0"/>
          <w:bCs w:val="0"/>
          <w:color w:val="000000"/>
          <w:sz w:val="24"/>
        </w:rPr>
        <w:t>3、公司整体业绩指标包括公司业务增长率、净利润增长率和年度回款率。由公司股东会制定整体业务增长率、净利润增长率指标和各年度业务增长率、净利润增长率、回款率分项指标。当公司年度业务增长率高于或等于</w:t>
      </w:r>
      <w:r>
        <w:rPr>
          <w:rFonts w:ascii="阿里巴巴普惠体 R" w:hAnsi="阿里巴巴普惠体 R" w:eastAsia="阿里巴巴普惠体 R" w:cs="阿里巴巴普惠体 R"/>
          <w:b w:val="0"/>
          <w:bCs w:val="0"/>
          <w:color w:val="000000"/>
          <w:sz w:val="24"/>
          <w:u w:val="single"/>
        </w:rPr>
        <w:t>　　　　</w:t>
      </w:r>
      <w:r>
        <w:rPr>
          <w:rFonts w:hint="eastAsia" w:ascii="阿里巴巴普惠体 R" w:hAnsi="阿里巴巴普惠体 R" w:eastAsia="阿里巴巴普惠体 R" w:cs="阿里巴巴普惠体 R"/>
          <w:b w:val="0"/>
          <w:bCs w:val="0"/>
          <w:color w:val="000000"/>
          <w:sz w:val="24"/>
          <w:u w:val="single"/>
        </w:rPr>
        <w:t xml:space="preserve">           </w:t>
      </w:r>
      <w:r>
        <w:rPr>
          <w:rFonts w:ascii="阿里巴巴普惠体 R" w:hAnsi="阿里巴巴普惠体 R" w:eastAsia="阿里巴巴普惠体 R" w:cs="阿里巴巴普惠体 R"/>
          <w:b w:val="0"/>
          <w:bCs w:val="0"/>
          <w:color w:val="000000"/>
          <w:sz w:val="24"/>
          <w:u w:val="single"/>
        </w:rPr>
        <w:t>　　</w:t>
      </w:r>
      <w:r>
        <w:rPr>
          <w:rFonts w:ascii="阿里巴巴普惠体 R" w:hAnsi="阿里巴巴普惠体 R" w:eastAsia="阿里巴巴普惠体 R" w:cs="阿里巴巴普惠体 R"/>
          <w:b w:val="0"/>
          <w:bCs w:val="0"/>
          <w:color w:val="000000"/>
          <w:sz w:val="24"/>
        </w:rPr>
        <w:t>%、净利润增长率高于或等于</w:t>
      </w:r>
      <w:r>
        <w:rPr>
          <w:rFonts w:ascii="阿里巴巴普惠体 R" w:hAnsi="阿里巴巴普惠体 R" w:eastAsia="阿里巴巴普惠体 R" w:cs="阿里巴巴普惠体 R"/>
          <w:b w:val="0"/>
          <w:bCs w:val="0"/>
          <w:color w:val="000000"/>
          <w:sz w:val="24"/>
          <w:u w:val="single"/>
        </w:rPr>
        <w:t>　　　　</w:t>
      </w:r>
      <w:r>
        <w:rPr>
          <w:rFonts w:hint="eastAsia" w:ascii="阿里巴巴普惠体 R" w:hAnsi="阿里巴巴普惠体 R" w:eastAsia="阿里巴巴普惠体 R" w:cs="阿里巴巴普惠体 R"/>
          <w:b w:val="0"/>
          <w:bCs w:val="0"/>
          <w:color w:val="000000"/>
          <w:sz w:val="24"/>
          <w:u w:val="single"/>
        </w:rPr>
        <w:t xml:space="preserve">           </w:t>
      </w:r>
      <w:r>
        <w:rPr>
          <w:rFonts w:ascii="阿里巴巴普惠体 R" w:hAnsi="阿里巴巴普惠体 R" w:eastAsia="阿里巴巴普惠体 R" w:cs="阿里巴巴普惠体 R"/>
          <w:b w:val="0"/>
          <w:bCs w:val="0"/>
          <w:color w:val="000000"/>
          <w:sz w:val="24"/>
          <w:u w:val="single"/>
        </w:rPr>
        <w:t>　　</w:t>
      </w:r>
      <w:r>
        <w:rPr>
          <w:rFonts w:ascii="阿里巴巴普惠体 R" w:hAnsi="阿里巴巴普惠体 R" w:eastAsia="阿里巴巴普惠体 R" w:cs="阿里巴巴普惠体 R"/>
          <w:b w:val="0"/>
          <w:bCs w:val="0"/>
          <w:color w:val="000000"/>
          <w:sz w:val="24"/>
        </w:rPr>
        <w:t>%、年度回款率高于或等于</w:t>
      </w:r>
      <w:r>
        <w:rPr>
          <w:rFonts w:ascii="阿里巴巴普惠体 R" w:hAnsi="阿里巴巴普惠体 R" w:eastAsia="阿里巴巴普惠体 R" w:cs="阿里巴巴普惠体 R"/>
          <w:b w:val="0"/>
          <w:bCs w:val="0"/>
          <w:color w:val="000000"/>
          <w:sz w:val="24"/>
          <w:u w:val="single"/>
        </w:rPr>
        <w:t>　　　　</w:t>
      </w:r>
      <w:r>
        <w:rPr>
          <w:rFonts w:hint="eastAsia" w:ascii="阿里巴巴普惠体 R" w:hAnsi="阿里巴巴普惠体 R" w:eastAsia="阿里巴巴普惠体 R" w:cs="阿里巴巴普惠体 R"/>
          <w:b w:val="0"/>
          <w:bCs w:val="0"/>
          <w:color w:val="000000"/>
          <w:sz w:val="24"/>
          <w:u w:val="single"/>
        </w:rPr>
        <w:t xml:space="preserve">           </w:t>
      </w:r>
      <w:r>
        <w:rPr>
          <w:rFonts w:ascii="阿里巴巴普惠体 R" w:hAnsi="阿里巴巴普惠体 R" w:eastAsia="阿里巴巴普惠体 R" w:cs="阿里巴巴普惠体 R"/>
          <w:b w:val="0"/>
          <w:bCs w:val="0"/>
          <w:color w:val="000000"/>
          <w:sz w:val="24"/>
          <w:u w:val="single"/>
        </w:rPr>
        <w:t>　　</w:t>
      </w:r>
      <w:r>
        <w:rPr>
          <w:rFonts w:ascii="阿里巴巴普惠体 R" w:hAnsi="阿里巴巴普惠体 R" w:eastAsia="阿里巴巴普惠体 R" w:cs="阿里巴巴普惠体 R"/>
          <w:b w:val="0"/>
          <w:bCs w:val="0"/>
          <w:color w:val="000000"/>
          <w:sz w:val="24"/>
        </w:rPr>
        <w:t>%时，视为当年度考核达标，乙方有权分红；如果公司年度业务增长率、净利润增长率和回款率低于上述指标时，则当年度考核不达标，乙方无权分红。</w:t>
      </w:r>
    </w:p>
    <w:p>
      <w:pPr>
        <w:pStyle w:val="10"/>
        <w:rPr>
          <w:rFonts w:ascii="阿里巴巴普惠体 R" w:hAnsi="阿里巴巴普惠体 R" w:eastAsia="阿里巴巴普惠体 R" w:cs="阿里巴巴普惠体 R"/>
          <w:b w:val="0"/>
          <w:bCs w:val="0"/>
          <w:color w:val="000000"/>
          <w:sz w:val="24"/>
        </w:rPr>
      </w:pPr>
      <w:r>
        <w:rPr>
          <w:rFonts w:ascii="阿里巴巴普惠体 R" w:hAnsi="阿里巴巴普惠体 R" w:eastAsia="阿里巴巴普惠体 R" w:cs="阿里巴巴普惠体 R"/>
          <w:b w:val="0"/>
          <w:bCs w:val="0"/>
          <w:color w:val="000000"/>
          <w:sz w:val="24"/>
        </w:rPr>
        <w:t>4、乙方个人业绩指标包括乙方业务、财务指标实现情况、组织管理能力和团队合作等方面的指标。甲方可以事先给乙方规定考核标准，年底由甲方对乙方进行考评，实行打分制，考核结果划分等级及相应的分红系数。</w:t>
      </w:r>
    </w:p>
    <w:tbl>
      <w:tblPr>
        <w:tblStyle w:val="13"/>
        <w:tblW w:w="8461" w:type="dxa"/>
        <w:tblInd w:w="0" w:type="dxa"/>
        <w:tblBorders>
          <w:top w:val="single" w:color="DDDDDD" w:sz="6" w:space="0"/>
          <w:left w:val="single" w:color="DDDDDD" w:sz="6" w:space="0"/>
          <w:bottom w:val="single" w:color="DDDDDD" w:sz="6" w:space="0"/>
          <w:right w:val="single" w:color="DDDDDD" w:sz="6" w:space="0"/>
          <w:insideH w:val="single" w:color="DDDDDD" w:sz="6" w:space="0"/>
          <w:insideV w:val="single" w:color="DDDDDD" w:sz="6" w:space="0"/>
        </w:tblBorders>
        <w:tblLayout w:type="fixed"/>
        <w:tblCellMar>
          <w:top w:w="80" w:type="dxa"/>
          <w:left w:w="80" w:type="dxa"/>
          <w:bottom w:w="80" w:type="dxa"/>
          <w:right w:w="80" w:type="dxa"/>
        </w:tblCellMar>
      </w:tblPr>
      <w:tblGrid>
        <w:gridCol w:w="2821"/>
        <w:gridCol w:w="2821"/>
        <w:gridCol w:w="2819"/>
      </w:tblGrid>
      <w:tr>
        <w:tblPrEx>
          <w:tblBorders>
            <w:top w:val="single" w:color="DDDDDD" w:sz="6" w:space="0"/>
            <w:left w:val="single" w:color="DDDDDD" w:sz="6" w:space="0"/>
            <w:bottom w:val="single" w:color="DDDDDD" w:sz="6" w:space="0"/>
            <w:right w:val="single" w:color="DDDDDD" w:sz="6" w:space="0"/>
            <w:insideH w:val="single" w:color="DDDDDD" w:sz="6" w:space="0"/>
            <w:insideV w:val="single" w:color="DDDDDD" w:sz="6" w:space="0"/>
          </w:tblBorders>
          <w:tblLayout w:type="fixed"/>
          <w:tblCellMar>
            <w:top w:w="80" w:type="dxa"/>
            <w:left w:w="80" w:type="dxa"/>
            <w:bottom w:w="80" w:type="dxa"/>
            <w:right w:w="80" w:type="dxa"/>
          </w:tblCellMar>
        </w:tblPrEx>
        <w:trPr>
          <w:trHeight w:val="428" w:hRule="atLeast"/>
        </w:trPr>
        <w:tc>
          <w:tcPr>
            <w:tcW w:w="2821" w:type="dxa"/>
            <w:vMerge w:val="restart"/>
            <w:vAlign w:val="center"/>
          </w:tcPr>
          <w:p>
            <w:pPr>
              <w:rPr>
                <w:rFonts w:ascii="阿里巴巴普惠体 R" w:hAnsi="阿里巴巴普惠体 R" w:eastAsia="阿里巴巴普惠体 R" w:cs="阿里巴巴普惠体 R"/>
                <w:b w:val="0"/>
                <w:bCs w:val="0"/>
                <w:color w:val="000000"/>
                <w:sz w:val="24"/>
              </w:rPr>
            </w:pPr>
            <w:r>
              <w:rPr>
                <w:rFonts w:ascii="阿里巴巴普惠体 R" w:hAnsi="阿里巴巴普惠体 R" w:eastAsia="阿里巴巴普惠体 R" w:cs="阿里巴巴普惠体 R"/>
                <w:b w:val="0"/>
                <w:bCs w:val="0"/>
                <w:color w:val="000000"/>
                <w:sz w:val="24"/>
              </w:rPr>
              <w:t>考核等级</w:t>
            </w:r>
          </w:p>
        </w:tc>
        <w:tc>
          <w:tcPr>
            <w:tcW w:w="2821" w:type="dxa"/>
            <w:vMerge w:val="restart"/>
            <w:vAlign w:val="center"/>
          </w:tcPr>
          <w:p>
            <w:pPr>
              <w:rPr>
                <w:rFonts w:ascii="阿里巴巴普惠体 R" w:hAnsi="阿里巴巴普惠体 R" w:eastAsia="阿里巴巴普惠体 R" w:cs="阿里巴巴普惠体 R"/>
                <w:b w:val="0"/>
                <w:bCs w:val="0"/>
                <w:color w:val="000000"/>
                <w:sz w:val="24"/>
              </w:rPr>
            </w:pPr>
            <w:r>
              <w:rPr>
                <w:rFonts w:ascii="阿里巴巴普惠体 R" w:hAnsi="阿里巴巴普惠体 R" w:eastAsia="阿里巴巴普惠体 R" w:cs="阿里巴巴普惠体 R"/>
                <w:b w:val="0"/>
                <w:bCs w:val="0"/>
                <w:color w:val="000000"/>
                <w:sz w:val="24"/>
              </w:rPr>
              <w:t>考核分数</w:t>
            </w:r>
          </w:p>
        </w:tc>
        <w:tc>
          <w:tcPr>
            <w:tcW w:w="2819" w:type="dxa"/>
            <w:vMerge w:val="restart"/>
            <w:vAlign w:val="center"/>
          </w:tcPr>
          <w:p>
            <w:pPr>
              <w:rPr>
                <w:rFonts w:ascii="阿里巴巴普惠体 R" w:hAnsi="阿里巴巴普惠体 R" w:eastAsia="阿里巴巴普惠体 R" w:cs="阿里巴巴普惠体 R"/>
                <w:b w:val="0"/>
                <w:bCs w:val="0"/>
                <w:color w:val="000000"/>
                <w:sz w:val="24"/>
              </w:rPr>
            </w:pPr>
            <w:r>
              <w:rPr>
                <w:rFonts w:ascii="阿里巴巴普惠体 R" w:hAnsi="阿里巴巴普惠体 R" w:eastAsia="阿里巴巴普惠体 R" w:cs="阿里巴巴普惠体 R"/>
                <w:b w:val="0"/>
                <w:bCs w:val="0"/>
                <w:color w:val="000000"/>
                <w:sz w:val="24"/>
              </w:rPr>
              <w:t>分红系数</w:t>
            </w:r>
          </w:p>
        </w:tc>
      </w:tr>
      <w:tr>
        <w:tblPrEx>
          <w:tblBorders>
            <w:top w:val="single" w:color="DDDDDD" w:sz="6" w:space="0"/>
            <w:left w:val="single" w:color="DDDDDD" w:sz="6" w:space="0"/>
            <w:bottom w:val="single" w:color="DDDDDD" w:sz="6" w:space="0"/>
            <w:right w:val="single" w:color="DDDDDD" w:sz="6" w:space="0"/>
            <w:insideH w:val="single" w:color="DDDDDD" w:sz="6" w:space="0"/>
            <w:insideV w:val="single" w:color="DDDDDD" w:sz="6" w:space="0"/>
          </w:tblBorders>
          <w:tblLayout w:type="fixed"/>
          <w:tblCellMar>
            <w:top w:w="80" w:type="dxa"/>
            <w:left w:w="80" w:type="dxa"/>
            <w:bottom w:w="80" w:type="dxa"/>
            <w:right w:w="80" w:type="dxa"/>
          </w:tblCellMar>
        </w:tblPrEx>
        <w:tc>
          <w:tcPr>
            <w:tcW w:w="2821" w:type="dxa"/>
            <w:vAlign w:val="center"/>
          </w:tcPr>
          <w:p>
            <w:pPr>
              <w:rPr>
                <w:rFonts w:ascii="阿里巴巴普惠体 R" w:hAnsi="阿里巴巴普惠体 R" w:eastAsia="阿里巴巴普惠体 R" w:cs="阿里巴巴普惠体 R"/>
                <w:b w:val="0"/>
                <w:bCs w:val="0"/>
                <w:color w:val="000000"/>
                <w:sz w:val="24"/>
              </w:rPr>
            </w:pPr>
            <w:r>
              <w:rPr>
                <w:rFonts w:ascii="阿里巴巴普惠体 R" w:hAnsi="阿里巴巴普惠体 R" w:eastAsia="阿里巴巴普惠体 R" w:cs="阿里巴巴普惠体 R"/>
                <w:b w:val="0"/>
                <w:bCs w:val="0"/>
                <w:color w:val="000000"/>
                <w:sz w:val="24"/>
              </w:rPr>
              <w:t>　　　　　　</w:t>
            </w:r>
          </w:p>
        </w:tc>
        <w:tc>
          <w:tcPr>
            <w:tcW w:w="2821" w:type="dxa"/>
            <w:vAlign w:val="center"/>
          </w:tcPr>
          <w:p>
            <w:pPr>
              <w:rPr>
                <w:rFonts w:ascii="阿里巴巴普惠体 R" w:hAnsi="阿里巴巴普惠体 R" w:eastAsia="阿里巴巴普惠体 R" w:cs="阿里巴巴普惠体 R"/>
                <w:b w:val="0"/>
                <w:bCs w:val="0"/>
                <w:color w:val="000000"/>
                <w:sz w:val="24"/>
              </w:rPr>
            </w:pPr>
            <w:r>
              <w:rPr>
                <w:rFonts w:ascii="阿里巴巴普惠体 R" w:hAnsi="阿里巴巴普惠体 R" w:eastAsia="阿里巴巴普惠体 R" w:cs="阿里巴巴普惠体 R"/>
                <w:b w:val="0"/>
                <w:bCs w:val="0"/>
                <w:color w:val="000000"/>
                <w:sz w:val="24"/>
              </w:rPr>
              <w:t>　　　　　　分-　　　　　　分</w:t>
            </w:r>
          </w:p>
        </w:tc>
        <w:tc>
          <w:tcPr>
            <w:tcW w:w="2819" w:type="dxa"/>
            <w:vAlign w:val="center"/>
          </w:tcPr>
          <w:p>
            <w:pPr>
              <w:rPr>
                <w:rFonts w:ascii="阿里巴巴普惠体 R" w:hAnsi="阿里巴巴普惠体 R" w:eastAsia="阿里巴巴普惠体 R" w:cs="阿里巴巴普惠体 R"/>
                <w:b w:val="0"/>
                <w:bCs w:val="0"/>
                <w:color w:val="000000"/>
                <w:sz w:val="24"/>
              </w:rPr>
            </w:pPr>
            <w:r>
              <w:rPr>
                <w:rFonts w:ascii="阿里巴巴普惠体 R" w:hAnsi="阿里巴巴普惠体 R" w:eastAsia="阿里巴巴普惠体 R" w:cs="阿里巴巴普惠体 R"/>
                <w:b w:val="0"/>
                <w:bCs w:val="0"/>
                <w:color w:val="000000"/>
                <w:sz w:val="24"/>
              </w:rPr>
              <w:t>　　　　　　</w:t>
            </w:r>
          </w:p>
        </w:tc>
      </w:tr>
    </w:tbl>
    <w:p>
      <w:pPr>
        <w:pStyle w:val="10"/>
        <w:rPr>
          <w:rFonts w:ascii="阿里巴巴普惠体 R" w:hAnsi="阿里巴巴普惠体 R" w:eastAsia="阿里巴巴普惠体 R" w:cs="阿里巴巴普惠体 R"/>
          <w:b w:val="0"/>
          <w:bCs w:val="0"/>
          <w:color w:val="000000"/>
          <w:sz w:val="24"/>
        </w:rPr>
      </w:pPr>
      <w:r>
        <w:rPr>
          <w:rFonts w:ascii="阿里巴巴普惠体 R" w:hAnsi="阿里巴巴普惠体 R" w:eastAsia="阿里巴巴普惠体 R" w:cs="阿里巴巴普惠体 R"/>
          <w:b w:val="0"/>
          <w:bCs w:val="0"/>
          <w:color w:val="000000"/>
          <w:sz w:val="24"/>
        </w:rPr>
        <w:t>5、股权激励方案实施所依据的公司净利润等财务数据，以公司财务会计报表为准。</w:t>
      </w:r>
    </w:p>
    <w:p>
      <w:pPr>
        <w:pStyle w:val="10"/>
        <w:rPr>
          <w:rFonts w:ascii="阿里巴巴普惠体 R" w:hAnsi="阿里巴巴普惠体 R" w:eastAsia="阿里巴巴普惠体 R" w:cs="阿里巴巴普惠体 R"/>
          <w:b w:val="0"/>
          <w:bCs w:val="0"/>
          <w:color w:val="000000"/>
          <w:sz w:val="24"/>
        </w:rPr>
      </w:pPr>
      <w:r>
        <w:rPr>
          <w:rFonts w:ascii="阿里巴巴普惠体 R" w:hAnsi="阿里巴巴普惠体 R" w:eastAsia="阿里巴巴普惠体 R" w:cs="阿里巴巴普惠体 R"/>
          <w:b w:val="0"/>
          <w:bCs w:val="0"/>
          <w:color w:val="000000"/>
          <w:sz w:val="24"/>
        </w:rPr>
        <w:t>第七条 变更手续的办理</w:t>
      </w:r>
    </w:p>
    <w:p>
      <w:pPr>
        <w:pStyle w:val="10"/>
        <w:rPr>
          <w:rFonts w:ascii="阿里巴巴普惠体 R" w:hAnsi="阿里巴巴普惠体 R" w:eastAsia="阿里巴巴普惠体 R" w:cs="阿里巴巴普惠体 R"/>
          <w:b w:val="0"/>
          <w:bCs w:val="0"/>
          <w:color w:val="000000"/>
          <w:sz w:val="24"/>
        </w:rPr>
      </w:pPr>
      <w:r>
        <w:rPr>
          <w:rFonts w:ascii="阿里巴巴普惠体 R" w:hAnsi="阿里巴巴普惠体 R" w:eastAsia="阿里巴巴普惠体 R" w:cs="阿里巴巴普惠体 R"/>
          <w:b w:val="0"/>
          <w:bCs w:val="0"/>
          <w:color w:val="000000"/>
          <w:sz w:val="24"/>
        </w:rPr>
        <w:t>1、期股认购期满后，乙方以认购的标的股权出资成为公司股东，乙方应向甲方总经理提出书面申请，经总经理审核确认乙方符合获得股权条件的，由公司股东按照各自确定的比例向乙方转让股权，并办理工商变更登记。</w:t>
      </w:r>
    </w:p>
    <w:p>
      <w:pPr>
        <w:pStyle w:val="10"/>
        <w:rPr>
          <w:rFonts w:ascii="阿里巴巴普惠体 R" w:hAnsi="阿里巴巴普惠体 R" w:eastAsia="阿里巴巴普惠体 R" w:cs="阿里巴巴普惠体 R"/>
          <w:b w:val="0"/>
          <w:bCs w:val="0"/>
          <w:color w:val="000000"/>
          <w:sz w:val="24"/>
        </w:rPr>
      </w:pPr>
      <w:r>
        <w:rPr>
          <w:rFonts w:ascii="阿里巴巴普惠体 R" w:hAnsi="阿里巴巴普惠体 R" w:eastAsia="阿里巴巴普惠体 R" w:cs="阿里巴巴普惠体 R"/>
          <w:b w:val="0"/>
          <w:bCs w:val="0"/>
          <w:color w:val="000000"/>
          <w:sz w:val="24"/>
        </w:rPr>
        <w:t>2、如乙方在认购期内提前认购完毕全部获授期股的，经甲方股东会批准，甲方可提前办理股权转让、变更登记手续。</w:t>
      </w:r>
    </w:p>
    <w:p>
      <w:pPr>
        <w:pStyle w:val="10"/>
        <w:rPr>
          <w:rFonts w:ascii="阿里巴巴普惠体 R" w:hAnsi="阿里巴巴普惠体 R" w:eastAsia="阿里巴巴普惠体 R" w:cs="阿里巴巴普惠体 R"/>
          <w:b w:val="0"/>
          <w:bCs w:val="0"/>
          <w:color w:val="000000"/>
          <w:sz w:val="24"/>
        </w:rPr>
      </w:pPr>
      <w:r>
        <w:rPr>
          <w:rFonts w:ascii="阿里巴巴普惠体 R" w:hAnsi="阿里巴巴普惠体 R" w:eastAsia="阿里巴巴普惠体 R" w:cs="阿里巴巴普惠体 R"/>
          <w:b w:val="0"/>
          <w:bCs w:val="0"/>
          <w:color w:val="000000"/>
          <w:sz w:val="24"/>
        </w:rPr>
        <w:t>第八条 期权的失效与处理</w:t>
      </w:r>
    </w:p>
    <w:p>
      <w:pPr>
        <w:pStyle w:val="10"/>
        <w:rPr>
          <w:rFonts w:ascii="阿里巴巴普惠体 R" w:hAnsi="阿里巴巴普惠体 R" w:eastAsia="阿里巴巴普惠体 R" w:cs="阿里巴巴普惠体 R"/>
          <w:b w:val="0"/>
          <w:bCs w:val="0"/>
          <w:color w:val="000000"/>
          <w:sz w:val="24"/>
        </w:rPr>
      </w:pPr>
      <w:r>
        <w:rPr>
          <w:rFonts w:ascii="阿里巴巴普惠体 R" w:hAnsi="阿里巴巴普惠体 R" w:eastAsia="阿里巴巴普惠体 R" w:cs="阿里巴巴普惠体 R"/>
          <w:b w:val="0"/>
          <w:bCs w:val="0"/>
          <w:color w:val="000000"/>
          <w:sz w:val="24"/>
        </w:rPr>
        <w:t>1、公司因经营亏损导致歇业、破产或解散时，乙方未认购部分的期股即全部失效。</w:t>
      </w:r>
    </w:p>
    <w:p>
      <w:pPr>
        <w:pStyle w:val="10"/>
        <w:rPr>
          <w:rFonts w:ascii="阿里巴巴普惠体 R" w:hAnsi="阿里巴巴普惠体 R" w:eastAsia="阿里巴巴普惠体 R" w:cs="阿里巴巴普惠体 R"/>
          <w:b w:val="0"/>
          <w:bCs w:val="0"/>
          <w:color w:val="000000"/>
          <w:sz w:val="24"/>
        </w:rPr>
      </w:pPr>
      <w:r>
        <w:rPr>
          <w:rFonts w:ascii="阿里巴巴普惠体 R" w:hAnsi="阿里巴巴普惠体 R" w:eastAsia="阿里巴巴普惠体 R" w:cs="阿里巴巴普惠体 R"/>
          <w:b w:val="0"/>
          <w:bCs w:val="0"/>
          <w:color w:val="000000"/>
          <w:sz w:val="24"/>
        </w:rPr>
        <w:t>2、乙方职务发生变更，但仍为公司的高级管理人员或核心员工的，则其期权激励不受影响。</w:t>
      </w:r>
    </w:p>
    <w:p>
      <w:pPr>
        <w:pStyle w:val="10"/>
        <w:rPr>
          <w:rFonts w:ascii="阿里巴巴普惠体 R" w:hAnsi="阿里巴巴普惠体 R" w:eastAsia="阿里巴巴普惠体 R" w:cs="阿里巴巴普惠体 R"/>
          <w:b w:val="0"/>
          <w:bCs w:val="0"/>
          <w:color w:val="000000"/>
          <w:sz w:val="24"/>
        </w:rPr>
      </w:pPr>
      <w:r>
        <w:rPr>
          <w:rFonts w:ascii="阿里巴巴普惠体 R" w:hAnsi="阿里巴巴普惠体 R" w:eastAsia="阿里巴巴普惠体 R" w:cs="阿里巴巴普惠体 R"/>
          <w:b w:val="0"/>
          <w:bCs w:val="0"/>
          <w:color w:val="000000"/>
          <w:sz w:val="24"/>
        </w:rPr>
        <w:t>3、乙方因执行职务负伤而导致丧失劳动能力的，其已认购的期股不受影响，但不再享受终止服务日以后的期股激励。</w:t>
      </w:r>
    </w:p>
    <w:p>
      <w:pPr>
        <w:pStyle w:val="10"/>
        <w:rPr>
          <w:rFonts w:ascii="阿里巴巴普惠体 R" w:hAnsi="阿里巴巴普惠体 R" w:eastAsia="阿里巴巴普惠体 R" w:cs="阿里巴巴普惠体 R"/>
          <w:b w:val="0"/>
          <w:bCs w:val="0"/>
          <w:color w:val="000000"/>
          <w:sz w:val="24"/>
        </w:rPr>
      </w:pPr>
      <w:r>
        <w:rPr>
          <w:rFonts w:ascii="阿里巴巴普惠体 R" w:hAnsi="阿里巴巴普惠体 R" w:eastAsia="阿里巴巴普惠体 R" w:cs="阿里巴巴普惠体 R"/>
          <w:b w:val="0"/>
          <w:bCs w:val="0"/>
          <w:color w:val="000000"/>
          <w:sz w:val="24"/>
        </w:rPr>
        <w:t>4、乙方因不能胜任工作岗位、考核不合格等行为导致职务变更的，则自公司作出职务变更决定之日起，乙方未认购部分的期股即全部失效。乙方按照实际购买的期股份额享有权益。</w:t>
      </w:r>
    </w:p>
    <w:p>
      <w:pPr>
        <w:pStyle w:val="10"/>
        <w:rPr>
          <w:rFonts w:ascii="阿里巴巴普惠体 R" w:hAnsi="阿里巴巴普惠体 R" w:eastAsia="阿里巴巴普惠体 R" w:cs="阿里巴巴普惠体 R"/>
          <w:b w:val="0"/>
          <w:bCs w:val="0"/>
          <w:color w:val="000000"/>
          <w:sz w:val="24"/>
        </w:rPr>
      </w:pPr>
      <w:r>
        <w:rPr>
          <w:rFonts w:ascii="阿里巴巴普惠体 R" w:hAnsi="阿里巴巴普惠体 R" w:eastAsia="阿里巴巴普惠体 R" w:cs="阿里巴巴普惠体 R"/>
          <w:b w:val="0"/>
          <w:bCs w:val="0"/>
          <w:color w:val="000000"/>
          <w:sz w:val="24"/>
        </w:rPr>
        <w:t>5、乙方因触犯法律、违反职业道德、泄露公司秘密、失职或渎职等行为严重损害公司利益或声誉而被公司解聘的，自解除劳动关系之日起，乙方获授期股全部失效，并且不再享有相应的股权分红收益权。对于乙方已经积累支付的期股购买资金，公司在扣除乙方获授期股期间每年所获股权红利部分后无息退还。</w:t>
      </w:r>
    </w:p>
    <w:p>
      <w:pPr>
        <w:pStyle w:val="10"/>
        <w:rPr>
          <w:rFonts w:ascii="阿里巴巴普惠体 R" w:hAnsi="阿里巴巴普惠体 R" w:eastAsia="阿里巴巴普惠体 R" w:cs="阿里巴巴普惠体 R"/>
          <w:b w:val="0"/>
          <w:bCs w:val="0"/>
          <w:color w:val="000000"/>
          <w:sz w:val="24"/>
        </w:rPr>
      </w:pPr>
      <w:r>
        <w:rPr>
          <w:rFonts w:ascii="阿里巴巴普惠体 R" w:hAnsi="阿里巴巴普惠体 R" w:eastAsia="阿里巴巴普惠体 R" w:cs="阿里巴巴普惠体 R"/>
          <w:b w:val="0"/>
          <w:bCs w:val="0"/>
          <w:color w:val="000000"/>
          <w:sz w:val="24"/>
        </w:rPr>
        <w:t>6、乙方于劳动合同期满前辞职、或其提出动议与公司协议解除劳动合同、或在劳动合同期满时提出不再签约而离职的，自劳动合同解除之日起乙方所有获授期股全部失效，公司将无息退还给乙方已积累支付的期股购买资金。乙方未与公司办理完劳动合同解除手续前，公司有权不予返还乙方已积累支付的期股购买资金。</w:t>
      </w:r>
    </w:p>
    <w:p>
      <w:pPr>
        <w:pStyle w:val="10"/>
        <w:rPr>
          <w:rFonts w:ascii="阿里巴巴普惠体 R" w:hAnsi="阿里巴巴普惠体 R" w:eastAsia="阿里巴巴普惠体 R" w:cs="阿里巴巴普惠体 R"/>
          <w:b w:val="0"/>
          <w:bCs w:val="0"/>
          <w:color w:val="000000"/>
          <w:sz w:val="24"/>
        </w:rPr>
      </w:pPr>
      <w:r>
        <w:rPr>
          <w:rFonts w:ascii="阿里巴巴普惠体 R" w:hAnsi="阿里巴巴普惠体 R" w:eastAsia="阿里巴巴普惠体 R" w:cs="阿里巴巴普惠体 R"/>
          <w:b w:val="0"/>
          <w:bCs w:val="0"/>
          <w:color w:val="000000"/>
          <w:sz w:val="24"/>
        </w:rPr>
        <w:t>7、乙方因其他原因丧失民事行为能力、死亡等原因导致劳动关系终止的，自劳动关系终止之日起乙方所有获授期股全部失效，甲方将无息退还给乙方已积累支付的期股购买资金，同时对乙方被取消的期股价值给予适当补偿，并根据法律规定由其合法继承人继承。</w:t>
      </w:r>
    </w:p>
    <w:p>
      <w:pPr>
        <w:pStyle w:val="10"/>
        <w:rPr>
          <w:rFonts w:ascii="阿里巴巴普惠体 R" w:hAnsi="阿里巴巴普惠体 R" w:eastAsia="阿里巴巴普惠体 R" w:cs="阿里巴巴普惠体 R"/>
          <w:b w:val="0"/>
          <w:bCs w:val="0"/>
          <w:color w:val="000000"/>
          <w:sz w:val="24"/>
        </w:rPr>
      </w:pPr>
      <w:r>
        <w:rPr>
          <w:rFonts w:ascii="阿里巴巴普惠体 R" w:hAnsi="阿里巴巴普惠体 R" w:eastAsia="阿里巴巴普惠体 R" w:cs="阿里巴巴普惠体 R"/>
          <w:b w:val="0"/>
          <w:bCs w:val="0"/>
          <w:color w:val="000000"/>
          <w:sz w:val="24"/>
        </w:rPr>
        <w:t>第九条 认购期满后所获股权的处理</w:t>
      </w:r>
    </w:p>
    <w:p>
      <w:pPr>
        <w:pStyle w:val="10"/>
        <w:rPr>
          <w:rFonts w:ascii="阿里巴巴普惠体 R" w:hAnsi="阿里巴巴普惠体 R" w:eastAsia="阿里巴巴普惠体 R" w:cs="阿里巴巴普惠体 R"/>
          <w:b w:val="0"/>
          <w:bCs w:val="0"/>
          <w:color w:val="000000"/>
          <w:sz w:val="24"/>
        </w:rPr>
      </w:pPr>
      <w:r>
        <w:rPr>
          <w:rFonts w:ascii="阿里巴巴普惠体 R" w:hAnsi="阿里巴巴普惠体 R" w:eastAsia="阿里巴巴普惠体 R" w:cs="阿里巴巴普惠体 R"/>
          <w:b w:val="0"/>
          <w:bCs w:val="0"/>
          <w:color w:val="000000"/>
          <w:sz w:val="24"/>
        </w:rPr>
        <w:t>1、乙方在登记成为公司股东后无论何种原因离职的，其所持有的股权应由甲方收购或转让给公司其他股东，不得对外转让。</w:t>
      </w:r>
    </w:p>
    <w:p>
      <w:pPr>
        <w:pStyle w:val="10"/>
        <w:rPr>
          <w:rFonts w:ascii="阿里巴巴普惠体 R" w:hAnsi="阿里巴巴普惠体 R" w:eastAsia="阿里巴巴普惠体 R" w:cs="阿里巴巴普惠体 R"/>
          <w:b w:val="0"/>
          <w:bCs w:val="0"/>
          <w:color w:val="000000"/>
          <w:sz w:val="24"/>
        </w:rPr>
      </w:pPr>
      <w:r>
        <w:rPr>
          <w:rFonts w:ascii="阿里巴巴普惠体 R" w:hAnsi="阿里巴巴普惠体 R" w:eastAsia="阿里巴巴普惠体 R" w:cs="阿里巴巴普惠体 R"/>
          <w:b w:val="0"/>
          <w:bCs w:val="0"/>
          <w:color w:val="000000"/>
          <w:sz w:val="24"/>
        </w:rPr>
        <w:t>　　2、乙方登记为股东后离职的股权处理</w:t>
      </w:r>
    </w:p>
    <w:p>
      <w:pPr>
        <w:pStyle w:val="10"/>
        <w:rPr>
          <w:rFonts w:ascii="阿里巴巴普惠体 R" w:hAnsi="阿里巴巴普惠体 R" w:eastAsia="阿里巴巴普惠体 R" w:cs="阿里巴巴普惠体 R"/>
          <w:b w:val="0"/>
          <w:bCs w:val="0"/>
          <w:color w:val="000000"/>
          <w:sz w:val="24"/>
        </w:rPr>
      </w:pPr>
      <w:r>
        <w:rPr>
          <w:rFonts w:ascii="阿里巴巴普惠体 R" w:hAnsi="阿里巴巴普惠体 R" w:eastAsia="阿里巴巴普惠体 R" w:cs="阿里巴巴普惠体 R"/>
          <w:b w:val="0"/>
          <w:bCs w:val="0"/>
          <w:color w:val="000000"/>
          <w:sz w:val="24"/>
        </w:rPr>
        <w:t>（1）乙方在登记成为公司股东后离职时，乙方所持有的股权按照下列规定处理：</w:t>
      </w:r>
    </w:p>
    <w:p>
      <w:pPr>
        <w:pStyle w:val="10"/>
        <w:rPr>
          <w:rFonts w:ascii="阿里巴巴普惠体 R" w:hAnsi="阿里巴巴普惠体 R" w:eastAsia="阿里巴巴普惠体 R" w:cs="阿里巴巴普惠体 R"/>
          <w:b w:val="0"/>
          <w:bCs w:val="0"/>
          <w:color w:val="000000"/>
          <w:sz w:val="24"/>
        </w:rPr>
      </w:pPr>
      <w:r>
        <w:rPr>
          <w:rFonts w:ascii="阿里巴巴普惠体 R" w:hAnsi="阿里巴巴普惠体 R" w:eastAsia="阿里巴巴普惠体 R" w:cs="阿里巴巴普惠体 R"/>
          <w:b w:val="0"/>
          <w:bCs w:val="0"/>
          <w:color w:val="000000"/>
          <w:sz w:val="24"/>
        </w:rPr>
        <w:t>（2）如乙方自期股认购期满后在公司工作不满</w:t>
      </w:r>
      <w:r>
        <w:rPr>
          <w:rFonts w:ascii="阿里巴巴普惠体 R" w:hAnsi="阿里巴巴普惠体 R" w:eastAsia="阿里巴巴普惠体 R" w:cs="阿里巴巴普惠体 R"/>
          <w:b w:val="0"/>
          <w:bCs w:val="0"/>
          <w:color w:val="000000"/>
          <w:sz w:val="24"/>
          <w:u w:val="single"/>
        </w:rPr>
        <w:t>　　　　</w:t>
      </w:r>
      <w:r>
        <w:rPr>
          <w:rFonts w:hint="eastAsia" w:ascii="阿里巴巴普惠体 R" w:hAnsi="阿里巴巴普惠体 R" w:eastAsia="阿里巴巴普惠体 R" w:cs="阿里巴巴普惠体 R"/>
          <w:b w:val="0"/>
          <w:bCs w:val="0"/>
          <w:color w:val="000000"/>
          <w:sz w:val="24"/>
          <w:u w:val="single"/>
        </w:rPr>
        <w:t xml:space="preserve">           </w:t>
      </w:r>
      <w:r>
        <w:rPr>
          <w:rFonts w:ascii="阿里巴巴普惠体 R" w:hAnsi="阿里巴巴普惠体 R" w:eastAsia="阿里巴巴普惠体 R" w:cs="阿里巴巴普惠体 R"/>
          <w:b w:val="0"/>
          <w:bCs w:val="0"/>
          <w:color w:val="000000"/>
          <w:sz w:val="24"/>
          <w:u w:val="single"/>
        </w:rPr>
        <w:t>　　</w:t>
      </w:r>
      <w:r>
        <w:rPr>
          <w:rFonts w:ascii="阿里巴巴普惠体 R" w:hAnsi="阿里巴巴普惠体 R" w:eastAsia="阿里巴巴普惠体 R" w:cs="阿里巴巴普惠体 R"/>
          <w:b w:val="0"/>
          <w:bCs w:val="0"/>
          <w:color w:val="000000"/>
          <w:sz w:val="24"/>
        </w:rPr>
        <w:t>年的，乙方应按照认购价格将其持有的股权转让给其他股东或由甲方收购。如乙方不配合办理股权转让或收购的，其持有的股权不再享有公司以后年度的分红收益。</w:t>
      </w:r>
    </w:p>
    <w:p>
      <w:pPr>
        <w:pStyle w:val="10"/>
        <w:rPr>
          <w:rFonts w:ascii="阿里巴巴普惠体 R" w:hAnsi="阿里巴巴普惠体 R" w:eastAsia="阿里巴巴普惠体 R" w:cs="阿里巴巴普惠体 R"/>
          <w:b w:val="0"/>
          <w:bCs w:val="0"/>
          <w:color w:val="000000"/>
          <w:sz w:val="24"/>
        </w:rPr>
      </w:pPr>
      <w:r>
        <w:rPr>
          <w:rFonts w:ascii="阿里巴巴普惠体 R" w:hAnsi="阿里巴巴普惠体 R" w:eastAsia="阿里巴巴普惠体 R" w:cs="阿里巴巴普惠体 R"/>
          <w:b w:val="0"/>
          <w:bCs w:val="0"/>
          <w:color w:val="000000"/>
          <w:sz w:val="24"/>
        </w:rPr>
        <w:t>（3）如乙方自期股认购期满后在公司工作满</w:t>
      </w:r>
      <w:r>
        <w:rPr>
          <w:rFonts w:ascii="阿里巴巴普惠体 R" w:hAnsi="阿里巴巴普惠体 R" w:eastAsia="阿里巴巴普惠体 R" w:cs="阿里巴巴普惠体 R"/>
          <w:b w:val="0"/>
          <w:bCs w:val="0"/>
          <w:color w:val="000000"/>
          <w:sz w:val="24"/>
          <w:u w:val="single"/>
        </w:rPr>
        <w:t>　　　　</w:t>
      </w:r>
      <w:r>
        <w:rPr>
          <w:rFonts w:hint="eastAsia" w:ascii="阿里巴巴普惠体 R" w:hAnsi="阿里巴巴普惠体 R" w:eastAsia="阿里巴巴普惠体 R" w:cs="阿里巴巴普惠体 R"/>
          <w:b w:val="0"/>
          <w:bCs w:val="0"/>
          <w:color w:val="000000"/>
          <w:sz w:val="24"/>
          <w:u w:val="single"/>
        </w:rPr>
        <w:t xml:space="preserve">           </w:t>
      </w:r>
      <w:r>
        <w:rPr>
          <w:rFonts w:ascii="阿里巴巴普惠体 R" w:hAnsi="阿里巴巴普惠体 R" w:eastAsia="阿里巴巴普惠体 R" w:cs="阿里巴巴普惠体 R"/>
          <w:b w:val="0"/>
          <w:bCs w:val="0"/>
          <w:color w:val="000000"/>
          <w:sz w:val="24"/>
          <w:u w:val="single"/>
        </w:rPr>
        <w:t>　　</w:t>
      </w:r>
      <w:r>
        <w:rPr>
          <w:rFonts w:ascii="阿里巴巴普惠体 R" w:hAnsi="阿里巴巴普惠体 R" w:eastAsia="阿里巴巴普惠体 R" w:cs="阿里巴巴普惠体 R"/>
          <w:b w:val="0"/>
          <w:bCs w:val="0"/>
          <w:color w:val="000000"/>
          <w:sz w:val="24"/>
        </w:rPr>
        <w:t>年的，乙方应将其所持股权中不低于　　　　　　%的份额转让给其他股东或经甲方同意后由甲方收购。转让或收购价格按照前一会计年度每股出资所对应的公司净资产价值计算。其余部分股权乙方可继续持有。</w:t>
      </w:r>
    </w:p>
    <w:p>
      <w:pPr>
        <w:pStyle w:val="10"/>
        <w:rPr>
          <w:rFonts w:ascii="阿里巴巴普惠体 R" w:hAnsi="阿里巴巴普惠体 R" w:eastAsia="阿里巴巴普惠体 R" w:cs="阿里巴巴普惠体 R"/>
          <w:b w:val="0"/>
          <w:bCs w:val="0"/>
          <w:color w:val="000000"/>
          <w:sz w:val="24"/>
        </w:rPr>
      </w:pPr>
      <w:r>
        <w:rPr>
          <w:rFonts w:ascii="阿里巴巴普惠体 R" w:hAnsi="阿里巴巴普惠体 R" w:eastAsia="阿里巴巴普惠体 R" w:cs="阿里巴巴普惠体 R"/>
          <w:b w:val="0"/>
          <w:bCs w:val="0"/>
          <w:color w:val="000000"/>
          <w:sz w:val="24"/>
        </w:rPr>
        <w:t>（4）乙方因达到法定退休年龄而退休的，乙方应将其所持股权中不低于</w:t>
      </w:r>
      <w:r>
        <w:rPr>
          <w:rFonts w:ascii="阿里巴巴普惠体 R" w:hAnsi="阿里巴巴普惠体 R" w:eastAsia="阿里巴巴普惠体 R" w:cs="阿里巴巴普惠体 R"/>
          <w:b w:val="0"/>
          <w:bCs w:val="0"/>
          <w:color w:val="000000"/>
          <w:sz w:val="24"/>
          <w:u w:val="single"/>
        </w:rPr>
        <w:t>　　　　</w:t>
      </w:r>
      <w:r>
        <w:rPr>
          <w:rFonts w:hint="eastAsia" w:ascii="阿里巴巴普惠体 R" w:hAnsi="阿里巴巴普惠体 R" w:eastAsia="阿里巴巴普惠体 R" w:cs="阿里巴巴普惠体 R"/>
          <w:b w:val="0"/>
          <w:bCs w:val="0"/>
          <w:color w:val="000000"/>
          <w:sz w:val="24"/>
          <w:u w:val="single"/>
        </w:rPr>
        <w:t xml:space="preserve">           </w:t>
      </w:r>
      <w:r>
        <w:rPr>
          <w:rFonts w:ascii="阿里巴巴普惠体 R" w:hAnsi="阿里巴巴普惠体 R" w:eastAsia="阿里巴巴普惠体 R" w:cs="阿里巴巴普惠体 R"/>
          <w:b w:val="0"/>
          <w:bCs w:val="0"/>
          <w:color w:val="000000"/>
          <w:sz w:val="24"/>
          <w:u w:val="single"/>
        </w:rPr>
        <w:t>　　</w:t>
      </w:r>
      <w:r>
        <w:rPr>
          <w:rFonts w:ascii="阿里巴巴普惠体 R" w:hAnsi="阿里巴巴普惠体 R" w:eastAsia="阿里巴巴普惠体 R" w:cs="阿里巴巴普惠体 R"/>
          <w:b w:val="0"/>
          <w:bCs w:val="0"/>
          <w:color w:val="000000"/>
          <w:sz w:val="24"/>
        </w:rPr>
        <w:t>%的份额转让给其他股东或经公司同意后由甲方收购。转让或收购价格按照前一会计年度每股出资所对应的公司净资产价值计算，其余部分股权乙方可继续持有。</w:t>
      </w:r>
    </w:p>
    <w:p>
      <w:pPr>
        <w:pStyle w:val="10"/>
        <w:rPr>
          <w:rFonts w:ascii="阿里巴巴普惠体 R" w:hAnsi="阿里巴巴普惠体 R" w:eastAsia="阿里巴巴普惠体 R" w:cs="阿里巴巴普惠体 R"/>
          <w:b w:val="0"/>
          <w:bCs w:val="0"/>
          <w:color w:val="000000"/>
          <w:sz w:val="24"/>
        </w:rPr>
      </w:pPr>
      <w:r>
        <w:rPr>
          <w:rFonts w:ascii="阿里巴巴普惠体 R" w:hAnsi="阿里巴巴普惠体 R" w:eastAsia="阿里巴巴普惠体 R" w:cs="阿里巴巴普惠体 R"/>
          <w:b w:val="0"/>
          <w:bCs w:val="0"/>
          <w:color w:val="000000"/>
          <w:sz w:val="24"/>
        </w:rPr>
        <w:t>（5）乙方因死亡而不具备股东资格的，其所持股份应当由其法定或遗嘱继承人转让给其他股东或由甲方按照前一会计年度每股出资所对应的公司净资产价值收购，股权转让或收购价款由乙方的继承人继承。</w:t>
      </w:r>
    </w:p>
    <w:p>
      <w:pPr>
        <w:pStyle w:val="10"/>
        <w:rPr>
          <w:rFonts w:ascii="阿里巴巴普惠体 R" w:hAnsi="阿里巴巴普惠体 R" w:eastAsia="阿里巴巴普惠体 R" w:cs="阿里巴巴普惠体 R"/>
          <w:b w:val="0"/>
          <w:bCs w:val="0"/>
          <w:color w:val="000000"/>
          <w:sz w:val="24"/>
        </w:rPr>
      </w:pPr>
      <w:r>
        <w:rPr>
          <w:rFonts w:ascii="阿里巴巴普惠体 R" w:hAnsi="阿里巴巴普惠体 R" w:eastAsia="阿里巴巴普惠体 R" w:cs="阿里巴巴普惠体 R"/>
          <w:b w:val="0"/>
          <w:bCs w:val="0"/>
          <w:color w:val="000000"/>
          <w:sz w:val="24"/>
        </w:rPr>
        <w:t>第十条 甲乙双方权利义务</w:t>
      </w:r>
    </w:p>
    <w:p>
      <w:pPr>
        <w:pStyle w:val="10"/>
        <w:rPr>
          <w:rFonts w:ascii="阿里巴巴普惠体 R" w:hAnsi="阿里巴巴普惠体 R" w:eastAsia="阿里巴巴普惠体 R" w:cs="阿里巴巴普惠体 R"/>
          <w:b w:val="0"/>
          <w:bCs w:val="0"/>
          <w:color w:val="000000"/>
          <w:sz w:val="24"/>
        </w:rPr>
      </w:pPr>
      <w:r>
        <w:rPr>
          <w:rFonts w:ascii="阿里巴巴普惠体 R" w:hAnsi="阿里巴巴普惠体 R" w:eastAsia="阿里巴巴普惠体 R" w:cs="阿里巴巴普惠体 R"/>
          <w:b w:val="0"/>
          <w:bCs w:val="0"/>
          <w:color w:val="000000"/>
          <w:sz w:val="24"/>
        </w:rPr>
        <w:t>1、甲方权利义务：</w:t>
      </w:r>
    </w:p>
    <w:p>
      <w:pPr>
        <w:pStyle w:val="10"/>
        <w:rPr>
          <w:rFonts w:ascii="阿里巴巴普惠体 R" w:hAnsi="阿里巴巴普惠体 R" w:eastAsia="阿里巴巴普惠体 R" w:cs="阿里巴巴普惠体 R"/>
          <w:b w:val="0"/>
          <w:bCs w:val="0"/>
          <w:color w:val="000000"/>
          <w:sz w:val="24"/>
        </w:rPr>
      </w:pPr>
      <w:r>
        <w:rPr>
          <w:rFonts w:ascii="阿里巴巴普惠体 R" w:hAnsi="阿里巴巴普惠体 R" w:eastAsia="阿里巴巴普惠体 R" w:cs="阿里巴巴普惠体 R"/>
          <w:b w:val="0"/>
          <w:bCs w:val="0"/>
          <w:color w:val="000000"/>
          <w:sz w:val="24"/>
        </w:rPr>
        <w:t>（1） 甲方有权要求乙方按其所聘岗位的职责为公司工作，若乙方不能胜任所聘工作岗位或者考核不合格，甲方有权取消乙方尚未认购的期股；</w:t>
      </w:r>
    </w:p>
    <w:p>
      <w:pPr>
        <w:pStyle w:val="10"/>
        <w:rPr>
          <w:rFonts w:ascii="阿里巴巴普惠体 R" w:hAnsi="阿里巴巴普惠体 R" w:eastAsia="阿里巴巴普惠体 R" w:cs="阿里巴巴普惠体 R"/>
          <w:b w:val="0"/>
          <w:bCs w:val="0"/>
          <w:color w:val="000000"/>
          <w:sz w:val="24"/>
        </w:rPr>
      </w:pPr>
      <w:r>
        <w:rPr>
          <w:rFonts w:ascii="阿里巴巴普惠体 R" w:hAnsi="阿里巴巴普惠体 R" w:eastAsia="阿里巴巴普惠体 R" w:cs="阿里巴巴普惠体 R"/>
          <w:b w:val="0"/>
          <w:bCs w:val="0"/>
          <w:color w:val="000000"/>
          <w:sz w:val="24"/>
        </w:rPr>
        <w:t>（2） 当公司发生合并、分立、购并、减资等情况时，公司有权根据具体的情况决定激励对象获授的期股提前加速认购、终止或取消实施股权激励方案；</w:t>
      </w:r>
    </w:p>
    <w:p>
      <w:pPr>
        <w:pStyle w:val="10"/>
        <w:rPr>
          <w:rFonts w:ascii="阿里巴巴普惠体 R" w:hAnsi="阿里巴巴普惠体 R" w:eastAsia="阿里巴巴普惠体 R" w:cs="阿里巴巴普惠体 R"/>
          <w:b w:val="0"/>
          <w:bCs w:val="0"/>
          <w:color w:val="000000"/>
          <w:sz w:val="24"/>
        </w:rPr>
      </w:pPr>
      <w:r>
        <w:rPr>
          <w:rFonts w:ascii="阿里巴巴普惠体 R" w:hAnsi="阿里巴巴普惠体 R" w:eastAsia="阿里巴巴普惠体 R" w:cs="阿里巴巴普惠体 R"/>
          <w:b w:val="0"/>
          <w:bCs w:val="0"/>
          <w:color w:val="000000"/>
          <w:sz w:val="24"/>
        </w:rPr>
        <w:t>（3） 若乙方因触犯法律、违反职业道德、泄露公司机密、失职或渎职等行为严重损害公司利益或声誉，甲方有权取消乙方所有获授期股；</w:t>
      </w:r>
    </w:p>
    <w:p>
      <w:pPr>
        <w:pStyle w:val="10"/>
        <w:rPr>
          <w:rFonts w:ascii="阿里巴巴普惠体 R" w:hAnsi="阿里巴巴普惠体 R" w:eastAsia="阿里巴巴普惠体 R" w:cs="阿里巴巴普惠体 R"/>
          <w:b w:val="0"/>
          <w:bCs w:val="0"/>
          <w:color w:val="000000"/>
          <w:sz w:val="24"/>
        </w:rPr>
      </w:pPr>
      <w:r>
        <w:rPr>
          <w:rFonts w:ascii="阿里巴巴普惠体 R" w:hAnsi="阿里巴巴普惠体 R" w:eastAsia="阿里巴巴普惠体 R" w:cs="阿里巴巴普惠体 R"/>
          <w:b w:val="0"/>
          <w:bCs w:val="0"/>
          <w:color w:val="000000"/>
          <w:sz w:val="24"/>
        </w:rPr>
        <w:t>（4） 乙方符合认购条件时，甲方应当按照本协议规定积极配合乙方认购。</w:t>
      </w:r>
    </w:p>
    <w:p>
      <w:pPr>
        <w:pStyle w:val="10"/>
        <w:rPr>
          <w:rFonts w:ascii="阿里巴巴普惠体 R" w:hAnsi="阿里巴巴普惠体 R" w:eastAsia="阿里巴巴普惠体 R" w:cs="阿里巴巴普惠体 R"/>
          <w:b w:val="0"/>
          <w:bCs w:val="0"/>
          <w:color w:val="000000"/>
          <w:sz w:val="24"/>
        </w:rPr>
      </w:pPr>
      <w:r>
        <w:rPr>
          <w:rFonts w:ascii="阿里巴巴普惠体 R" w:hAnsi="阿里巴巴普惠体 R" w:eastAsia="阿里巴巴普惠体 R" w:cs="阿里巴巴普惠体 R"/>
          <w:b w:val="0"/>
          <w:bCs w:val="0"/>
          <w:color w:val="000000"/>
          <w:sz w:val="24"/>
        </w:rPr>
        <w:t>2、乙方权利义务：</w:t>
      </w:r>
    </w:p>
    <w:p>
      <w:pPr>
        <w:pStyle w:val="10"/>
        <w:rPr>
          <w:rFonts w:ascii="阿里巴巴普惠体 R" w:hAnsi="阿里巴巴普惠体 R" w:eastAsia="阿里巴巴普惠体 R" w:cs="阿里巴巴普惠体 R"/>
          <w:b w:val="0"/>
          <w:bCs w:val="0"/>
          <w:color w:val="000000"/>
          <w:sz w:val="24"/>
        </w:rPr>
      </w:pPr>
      <w:r>
        <w:rPr>
          <w:rFonts w:ascii="阿里巴巴普惠体 R" w:hAnsi="阿里巴巴普惠体 R" w:eastAsia="阿里巴巴普惠体 R" w:cs="阿里巴巴普惠体 R"/>
          <w:b w:val="0"/>
          <w:bCs w:val="0"/>
          <w:color w:val="000000"/>
          <w:sz w:val="24"/>
        </w:rPr>
        <w:t>（1） 乙方在期股认购有效期内一直与公司保持聘用关系，并且达成公司制定的业绩考核目标，同时未有损害公司利益行为的，可以按照本方案认购获授期股，并获得相应的股权分红收益；</w:t>
      </w:r>
    </w:p>
    <w:p>
      <w:pPr>
        <w:pStyle w:val="10"/>
        <w:rPr>
          <w:rFonts w:ascii="阿里巴巴普惠体 R" w:hAnsi="阿里巴巴普惠体 R" w:eastAsia="阿里巴巴普惠体 R" w:cs="阿里巴巴普惠体 R"/>
          <w:b w:val="0"/>
          <w:bCs w:val="0"/>
          <w:color w:val="000000"/>
          <w:sz w:val="24"/>
        </w:rPr>
      </w:pPr>
      <w:r>
        <w:rPr>
          <w:rFonts w:ascii="阿里巴巴普惠体 R" w:hAnsi="阿里巴巴普惠体 R" w:eastAsia="阿里巴巴普惠体 R" w:cs="阿里巴巴普惠体 R"/>
          <w:b w:val="0"/>
          <w:bCs w:val="0"/>
          <w:color w:val="000000"/>
          <w:sz w:val="24"/>
        </w:rPr>
        <w:t>（2） 乙方应当按公司所聘岗位的职责要求，勤勉尽责，为甲方的发展做出应有贡献；</w:t>
      </w:r>
    </w:p>
    <w:p>
      <w:pPr>
        <w:pStyle w:val="10"/>
        <w:rPr>
          <w:rFonts w:ascii="阿里巴巴普惠体 R" w:hAnsi="阿里巴巴普惠体 R" w:eastAsia="阿里巴巴普惠体 R" w:cs="阿里巴巴普惠体 R"/>
          <w:b w:val="0"/>
          <w:bCs w:val="0"/>
          <w:color w:val="000000"/>
          <w:sz w:val="24"/>
        </w:rPr>
      </w:pPr>
      <w:r>
        <w:rPr>
          <w:rFonts w:ascii="阿里巴巴普惠体 R" w:hAnsi="阿里巴巴普惠体 R" w:eastAsia="阿里巴巴普惠体 R" w:cs="阿里巴巴普惠体 R"/>
          <w:b w:val="0"/>
          <w:bCs w:val="0"/>
          <w:color w:val="000000"/>
          <w:sz w:val="24"/>
        </w:rPr>
        <w:t>（3） 乙方有权按照本协议规定以期股分红或乙方自筹资金认购期股；</w:t>
      </w:r>
    </w:p>
    <w:p>
      <w:pPr>
        <w:pStyle w:val="10"/>
        <w:rPr>
          <w:rFonts w:ascii="阿里巴巴普惠体 R" w:hAnsi="阿里巴巴普惠体 R" w:eastAsia="阿里巴巴普惠体 R" w:cs="阿里巴巴普惠体 R"/>
          <w:b w:val="0"/>
          <w:bCs w:val="0"/>
          <w:color w:val="000000"/>
          <w:sz w:val="24"/>
        </w:rPr>
      </w:pPr>
      <w:r>
        <w:rPr>
          <w:rFonts w:ascii="阿里巴巴普惠体 R" w:hAnsi="阿里巴巴普惠体 R" w:eastAsia="阿里巴巴普惠体 R" w:cs="阿里巴巴普惠体 R"/>
          <w:b w:val="0"/>
          <w:bCs w:val="0"/>
          <w:color w:val="000000"/>
          <w:sz w:val="24"/>
        </w:rPr>
        <w:t>（4） 乙方获授的期股不得转让或用于担保或偿还债务；</w:t>
      </w:r>
    </w:p>
    <w:p>
      <w:pPr>
        <w:pStyle w:val="10"/>
        <w:rPr>
          <w:rFonts w:ascii="阿里巴巴普惠体 R" w:hAnsi="阿里巴巴普惠体 R" w:eastAsia="阿里巴巴普惠体 R" w:cs="阿里巴巴普惠体 R"/>
          <w:b w:val="0"/>
          <w:bCs w:val="0"/>
          <w:color w:val="000000"/>
          <w:sz w:val="24"/>
        </w:rPr>
      </w:pPr>
      <w:r>
        <w:rPr>
          <w:rFonts w:ascii="阿里巴巴普惠体 R" w:hAnsi="阿里巴巴普惠体 R" w:eastAsia="阿里巴巴普惠体 R" w:cs="阿里巴巴普惠体 R"/>
          <w:b w:val="0"/>
          <w:bCs w:val="0"/>
          <w:color w:val="000000"/>
          <w:sz w:val="24"/>
        </w:rPr>
        <w:t>（5） 乙方因本协议获得的收益，应按国家税收法规交纳个人所得税及其它税费；</w:t>
      </w:r>
    </w:p>
    <w:p>
      <w:pPr>
        <w:pStyle w:val="10"/>
        <w:rPr>
          <w:rFonts w:ascii="阿里巴巴普惠体 R" w:hAnsi="阿里巴巴普惠体 R" w:eastAsia="阿里巴巴普惠体 R" w:cs="阿里巴巴普惠体 R"/>
          <w:b w:val="0"/>
          <w:bCs w:val="0"/>
          <w:color w:val="000000"/>
          <w:sz w:val="24"/>
        </w:rPr>
      </w:pPr>
      <w:r>
        <w:rPr>
          <w:rFonts w:ascii="阿里巴巴普惠体 R" w:hAnsi="阿里巴巴普惠体 R" w:eastAsia="阿里巴巴普惠体 R" w:cs="阿里巴巴普惠体 R"/>
          <w:b w:val="0"/>
          <w:bCs w:val="0"/>
          <w:color w:val="000000"/>
          <w:sz w:val="24"/>
        </w:rPr>
        <w:t>（6） 乙方转让其持有的标的股权时，应当符合届时公司章程的规定；</w:t>
      </w:r>
    </w:p>
    <w:p>
      <w:pPr>
        <w:pStyle w:val="10"/>
        <w:rPr>
          <w:rFonts w:ascii="阿里巴巴普惠体 R" w:hAnsi="阿里巴巴普惠体 R" w:eastAsia="阿里巴巴普惠体 R" w:cs="阿里巴巴普惠体 R"/>
          <w:b w:val="0"/>
          <w:bCs w:val="0"/>
          <w:color w:val="000000"/>
          <w:sz w:val="24"/>
        </w:rPr>
      </w:pPr>
      <w:r>
        <w:rPr>
          <w:rFonts w:ascii="阿里巴巴普惠体 R" w:hAnsi="阿里巴巴普惠体 R" w:eastAsia="阿里巴巴普惠体 R" w:cs="阿里巴巴普惠体 R"/>
          <w:b w:val="0"/>
          <w:bCs w:val="0"/>
          <w:color w:val="000000"/>
          <w:sz w:val="24"/>
        </w:rPr>
        <w:t>（7） 乙方在认购期股后无论因任何原因离职，应当在离职后2年内不得从事与甲方经营业务相同或存在竞争性的相关工作，否则，乙方除应本协议约定转让股权外，还应当将在认购期限内所得的全部期股收益返还给甲方，并承担与其所得收益同等金额的违约金，如给甲方造成损失的，还应同时向甲方承担赔偿责任。</w:t>
      </w:r>
    </w:p>
    <w:p>
      <w:pPr>
        <w:pStyle w:val="10"/>
        <w:rPr>
          <w:rFonts w:ascii="阿里巴巴普惠体 R" w:hAnsi="阿里巴巴普惠体 R" w:eastAsia="阿里巴巴普惠体 R" w:cs="阿里巴巴普惠体 R"/>
          <w:b w:val="0"/>
          <w:bCs w:val="0"/>
          <w:color w:val="000000"/>
          <w:sz w:val="24"/>
        </w:rPr>
      </w:pPr>
      <w:r>
        <w:rPr>
          <w:rFonts w:ascii="阿里巴巴普惠体 R" w:hAnsi="阿里巴巴普惠体 R" w:eastAsia="阿里巴巴普惠体 R" w:cs="阿里巴巴普惠体 R"/>
          <w:b w:val="0"/>
          <w:bCs w:val="0"/>
          <w:color w:val="000000"/>
          <w:sz w:val="24"/>
        </w:rPr>
        <w:t>第十一条 争议解决条款</w:t>
      </w:r>
    </w:p>
    <w:p>
      <w:pPr>
        <w:pStyle w:val="10"/>
        <w:rPr>
          <w:rFonts w:ascii="阿里巴巴普惠体 R" w:hAnsi="阿里巴巴普惠体 R" w:eastAsia="阿里巴巴普惠体 R" w:cs="阿里巴巴普惠体 R"/>
          <w:b w:val="0"/>
          <w:bCs w:val="0"/>
          <w:color w:val="000000"/>
          <w:sz w:val="24"/>
        </w:rPr>
      </w:pPr>
      <w:r>
        <w:rPr>
          <w:rFonts w:ascii="阿里巴巴普惠体 R" w:hAnsi="阿里巴巴普惠体 R" w:eastAsia="阿里巴巴普惠体 R" w:cs="阿里巴巴普惠体 R"/>
          <w:b w:val="0"/>
          <w:bCs w:val="0"/>
          <w:color w:val="000000"/>
          <w:sz w:val="24"/>
        </w:rPr>
        <w:t>因履行本合同所发生的或与本合同有关的一切争议、纠纷，双方应协商解决。协商不成的，双方可依法直接向有管辖权的人民法院起诉。</w:t>
      </w:r>
    </w:p>
    <w:p>
      <w:pPr>
        <w:pStyle w:val="10"/>
        <w:rPr>
          <w:rFonts w:ascii="阿里巴巴普惠体 R" w:hAnsi="阿里巴巴普惠体 R" w:eastAsia="阿里巴巴普惠体 R" w:cs="阿里巴巴普惠体 R"/>
          <w:b w:val="0"/>
          <w:bCs w:val="0"/>
          <w:color w:val="000000"/>
          <w:sz w:val="24"/>
        </w:rPr>
      </w:pPr>
      <w:r>
        <w:rPr>
          <w:rFonts w:ascii="阿里巴巴普惠体 R" w:hAnsi="阿里巴巴普惠体 R" w:eastAsia="阿里巴巴普惠体 R" w:cs="阿里巴巴普惠体 R"/>
          <w:b w:val="0"/>
          <w:bCs w:val="0"/>
          <w:color w:val="000000"/>
          <w:sz w:val="24"/>
        </w:rPr>
        <w:t>第十二条 协议的补充</w:t>
      </w:r>
    </w:p>
    <w:p>
      <w:pPr>
        <w:pStyle w:val="10"/>
        <w:rPr>
          <w:rFonts w:ascii="阿里巴巴普惠体 R" w:hAnsi="阿里巴巴普惠体 R" w:eastAsia="阿里巴巴普惠体 R" w:cs="阿里巴巴普惠体 R"/>
          <w:b w:val="0"/>
          <w:bCs w:val="0"/>
          <w:color w:val="000000"/>
          <w:sz w:val="24"/>
        </w:rPr>
      </w:pPr>
      <w:r>
        <w:rPr>
          <w:rFonts w:ascii="阿里巴巴普惠体 R" w:hAnsi="阿里巴巴普惠体 R" w:eastAsia="阿里巴巴普惠体 R" w:cs="阿里巴巴普惠体 R"/>
          <w:b w:val="0"/>
          <w:bCs w:val="0"/>
          <w:color w:val="000000"/>
          <w:sz w:val="24"/>
        </w:rPr>
        <w:t>本协议未尽事宜，双方可另行协商签订补充协议，补充协议作为本协议附件，与本协议具有同等法律效力。</w:t>
      </w:r>
    </w:p>
    <w:p>
      <w:pPr>
        <w:pStyle w:val="10"/>
        <w:rPr>
          <w:rFonts w:ascii="阿里巴巴普惠体 R" w:hAnsi="阿里巴巴普惠体 R" w:eastAsia="阿里巴巴普惠体 R" w:cs="阿里巴巴普惠体 R"/>
          <w:b w:val="0"/>
          <w:bCs w:val="0"/>
          <w:color w:val="000000"/>
          <w:sz w:val="24"/>
        </w:rPr>
      </w:pPr>
      <w:r>
        <w:rPr>
          <w:rFonts w:ascii="阿里巴巴普惠体 R" w:hAnsi="阿里巴巴普惠体 R" w:eastAsia="阿里巴巴普惠体 R" w:cs="阿里巴巴普惠体 R"/>
          <w:b w:val="0"/>
          <w:bCs w:val="0"/>
          <w:color w:val="000000"/>
          <w:sz w:val="24"/>
        </w:rPr>
        <w:t>第十三条 生效</w:t>
      </w:r>
    </w:p>
    <w:p>
      <w:pPr>
        <w:pStyle w:val="10"/>
        <w:rPr>
          <w:rFonts w:ascii="阿里巴巴普惠体 R" w:hAnsi="阿里巴巴普惠体 R" w:eastAsia="阿里巴巴普惠体 R" w:cs="阿里巴巴普惠体 R"/>
          <w:b w:val="0"/>
          <w:bCs w:val="0"/>
          <w:color w:val="000000"/>
          <w:sz w:val="24"/>
        </w:rPr>
      </w:pPr>
      <w:r>
        <w:rPr>
          <w:rFonts w:ascii="阿里巴巴普惠体 R" w:hAnsi="阿里巴巴普惠体 R" w:eastAsia="阿里巴巴普惠体 R" w:cs="阿里巴巴普惠体 R"/>
          <w:b w:val="0"/>
          <w:bCs w:val="0"/>
          <w:color w:val="000000"/>
          <w:sz w:val="24"/>
        </w:rPr>
        <w:t>本协议一式二份，甲乙双方各执一份，自双方签字盖章之日起生效。</w:t>
      </w:r>
    </w:p>
    <w:p>
      <w:pPr>
        <w:pStyle w:val="10"/>
        <w:rPr>
          <w:rFonts w:ascii="阿里巴巴普惠体 R" w:hAnsi="阿里巴巴普惠体 R" w:eastAsia="阿里巴巴普惠体 R" w:cs="阿里巴巴普惠体 R"/>
          <w:b w:val="0"/>
          <w:bCs w:val="0"/>
          <w:color w:val="000000"/>
          <w:sz w:val="24"/>
        </w:rPr>
      </w:pPr>
      <w:r>
        <w:rPr>
          <w:rFonts w:ascii="阿里巴巴普惠体 R" w:hAnsi="阿里巴巴普惠体 R" w:eastAsia="阿里巴巴普惠体 R" w:cs="阿里巴巴普惠体 R"/>
          <w:b w:val="0"/>
          <w:bCs w:val="0"/>
          <w:color w:val="000000"/>
          <w:sz w:val="24"/>
        </w:rPr>
        <w:t>甲方盖章：</w:t>
      </w:r>
    </w:p>
    <w:p>
      <w:pPr>
        <w:pStyle w:val="10"/>
        <w:rPr>
          <w:rFonts w:ascii="阿里巴巴普惠体 R" w:hAnsi="阿里巴巴普惠体 R" w:eastAsia="阿里巴巴普惠体 R" w:cs="阿里巴巴普惠体 R"/>
          <w:b w:val="0"/>
          <w:bCs w:val="0"/>
          <w:color w:val="000000"/>
          <w:sz w:val="24"/>
        </w:rPr>
      </w:pPr>
      <w:r>
        <w:rPr>
          <w:rFonts w:ascii="阿里巴巴普惠体 R" w:hAnsi="阿里巴巴普惠体 R" w:eastAsia="阿里巴巴普惠体 R" w:cs="阿里巴巴普惠体 R"/>
          <w:b w:val="0"/>
          <w:bCs w:val="0"/>
          <w:color w:val="000000"/>
          <w:sz w:val="24"/>
        </w:rPr>
        <w:t>授权代表：</w:t>
      </w:r>
    </w:p>
    <w:p>
      <w:pPr>
        <w:pStyle w:val="10"/>
        <w:rPr>
          <w:rFonts w:ascii="阿里巴巴普惠体 R" w:hAnsi="阿里巴巴普惠体 R" w:eastAsia="阿里巴巴普惠体 R" w:cs="阿里巴巴普惠体 R"/>
          <w:b w:val="0"/>
          <w:bCs w:val="0"/>
          <w:color w:val="000000"/>
          <w:sz w:val="24"/>
        </w:rPr>
      </w:pPr>
      <w:r>
        <w:rPr>
          <w:rFonts w:ascii="阿里巴巴普惠体 R" w:hAnsi="阿里巴巴普惠体 R" w:eastAsia="阿里巴巴普惠体 R" w:cs="阿里巴巴普惠体 R"/>
          <w:b w:val="0"/>
          <w:bCs w:val="0"/>
          <w:color w:val="000000"/>
          <w:sz w:val="24"/>
        </w:rPr>
        <w:t>签约日期：</w:t>
      </w:r>
    </w:p>
    <w:p>
      <w:pPr>
        <w:pStyle w:val="10"/>
        <w:rPr>
          <w:rFonts w:ascii="阿里巴巴普惠体 R" w:hAnsi="阿里巴巴普惠体 R" w:eastAsia="阿里巴巴普惠体 R" w:cs="阿里巴巴普惠体 R"/>
          <w:b w:val="0"/>
          <w:bCs w:val="0"/>
          <w:color w:val="000000"/>
          <w:sz w:val="24"/>
        </w:rPr>
      </w:pPr>
      <w:r>
        <w:rPr>
          <w:rFonts w:ascii="阿里巴巴普惠体 R" w:hAnsi="阿里巴巴普惠体 R" w:eastAsia="阿里巴巴普惠体 R" w:cs="阿里巴巴普惠体 R"/>
          <w:b w:val="0"/>
          <w:bCs w:val="0"/>
          <w:color w:val="000000"/>
          <w:sz w:val="24"/>
        </w:rPr>
        <w:t>乙方签名：</w:t>
      </w:r>
    </w:p>
    <w:p>
      <w:pPr>
        <w:pStyle w:val="10"/>
        <w:rPr>
          <w:rFonts w:ascii="阿里巴巴普惠体 R" w:hAnsi="阿里巴巴普惠体 R" w:eastAsia="阿里巴巴普惠体 R" w:cs="阿里巴巴普惠体 R"/>
          <w:b w:val="0"/>
          <w:bCs w:val="0"/>
          <w:color w:val="000000"/>
          <w:sz w:val="24"/>
        </w:rPr>
      </w:pPr>
      <w:r>
        <w:rPr>
          <w:rFonts w:ascii="阿里巴巴普惠体 R" w:hAnsi="阿里巴巴普惠体 R" w:eastAsia="阿里巴巴普惠体 R" w:cs="阿里巴巴普惠体 R"/>
          <w:b w:val="0"/>
          <w:bCs w:val="0"/>
          <w:color w:val="000000"/>
          <w:sz w:val="24"/>
        </w:rPr>
        <w:t>签约日期：</w:t>
      </w:r>
    </w:p>
    <w:bookmarkEnd w:id="1"/>
    <w:sectPr>
      <w:pgSz w:w="11907" w:h="16839"/>
      <w:pgMar w:top="1440" w:right="1803" w:bottom="1440" w:left="1803" w:header="720" w:footer="720" w:gutter="0"/>
      <w:cols w:space="720" w:num="1"/>
      <w:docGrid w:linePitch="27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仿宋">
    <w:panose1 w:val="02010609060101010101"/>
    <w:charset w:val="86"/>
    <w:family w:val="modern"/>
    <w:pitch w:val="default"/>
    <w:sig w:usb0="800002BF" w:usb1="38CF7CFA" w:usb2="00000016" w:usb3="00000000" w:csb0="00040001" w:csb1="00000000"/>
  </w:font>
  <w:font w:name="阿里巴巴普惠体 R">
    <w:panose1 w:val="00020600040101010101"/>
    <w:charset w:val="86"/>
    <w:family w:val="roman"/>
    <w:pitch w:val="default"/>
    <w:sig w:usb0="A00002FF" w:usb1="7ACF7CFB" w:usb2="0000001E"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bordersDoNotSurroundHeader w:val="1"/>
  <w:bordersDoNotSurroundFooter w:val="1"/>
  <w:documentProtection w:enforcement="0"/>
  <w:defaultTabStop w:val="708"/>
  <w:hyphenationZone w:val="425"/>
  <w:characterSpacingControl w:val="doNotCompress"/>
  <w:compat>
    <w:useFELayout/>
    <w:compatSetting w:name="compatibilityMode" w:uri="http://schemas.microsoft.com/office/word" w:val="12"/>
  </w:compat>
  <w:rsids>
    <w:rsidRoot w:val="00A73C0F"/>
    <w:rsid w:val="002F0678"/>
    <w:rsid w:val="00A73C0F"/>
    <w:rsid w:val="00B679DB"/>
    <w:rsid w:val="00B77F1B"/>
    <w:rsid w:val="00EF2A19"/>
    <w:rsid w:val="2588586B"/>
    <w:rsid w:val="334955C0"/>
    <w:rsid w:val="78CA30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Arial" w:hAnsi="Arial" w:eastAsiaTheme="minorEastAsia" w:cs="Arial"/>
      </w:rPr>
    </w:r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rPr>
      <w:rFonts w:ascii="Arial" w:hAnsi="Arial" w:eastAsia="Arial" w:cs="Arial"/>
      <w:lang w:val="en-US" w:eastAsia="zh-CN" w:bidi="ar-SA"/>
    </w:rPr>
  </w:style>
  <w:style w:type="paragraph" w:styleId="2">
    <w:name w:val="heading 1"/>
    <w:basedOn w:val="1"/>
    <w:next w:val="1"/>
    <w:uiPriority w:val="0"/>
    <w:pPr>
      <w:spacing w:after="480"/>
      <w:jc w:val="center"/>
      <w:outlineLvl w:val="0"/>
    </w:pPr>
    <w:rPr>
      <w:rFonts w:ascii="仿宋" w:hAnsi="仿宋" w:eastAsia="仿宋" w:cs="仿宋"/>
      <w:b/>
      <w:sz w:val="36"/>
      <w:szCs w:val="36"/>
    </w:rPr>
  </w:style>
  <w:style w:type="character" w:default="1" w:styleId="6">
    <w:name w:val="Default Paragraph Font"/>
    <w:semiHidden/>
    <w:unhideWhenUsed/>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3">
    <w:name w:val="footer"/>
    <w:basedOn w:val="1"/>
    <w:link w:val="15"/>
    <w:uiPriority w:val="0"/>
    <w:pPr>
      <w:tabs>
        <w:tab w:val="center" w:pos="4153"/>
        <w:tab w:val="right" w:pos="8306"/>
      </w:tabs>
      <w:snapToGrid w:val="0"/>
    </w:pPr>
    <w:rPr>
      <w:sz w:val="18"/>
      <w:szCs w:val="18"/>
    </w:rPr>
  </w:style>
  <w:style w:type="paragraph" w:styleId="4">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character" w:styleId="7">
    <w:name w:val="footnote reference"/>
    <w:unhideWhenUsed/>
    <w:qFormat/>
    <w:uiPriority w:val="0"/>
    <w:rPr>
      <w:vertAlign w:val="superscript"/>
    </w:rPr>
  </w:style>
  <w:style w:type="character" w:customStyle="1" w:styleId="8">
    <w:name w:val="body"/>
    <w:link w:val="9"/>
    <w:qFormat/>
    <w:uiPriority w:val="0"/>
    <w:rPr>
      <w:rFonts w:ascii="仿宋" w:hAnsi="仿宋" w:eastAsia="仿宋" w:cs="仿宋"/>
      <w:sz w:val="24"/>
      <w:szCs w:val="24"/>
    </w:rPr>
  </w:style>
  <w:style w:type="paragraph" w:customStyle="1" w:styleId="9">
    <w:name w:val="pull-right"/>
    <w:basedOn w:val="10"/>
    <w:link w:val="8"/>
    <w:qFormat/>
    <w:uiPriority w:val="0"/>
    <w:pPr>
      <w:jc w:val="right"/>
    </w:pPr>
  </w:style>
  <w:style w:type="paragraph" w:customStyle="1" w:styleId="10">
    <w:name w:val="default"/>
    <w:basedOn w:val="1"/>
    <w:qFormat/>
    <w:uiPriority w:val="0"/>
    <w:pPr>
      <w:spacing w:line="360" w:lineRule="auto"/>
    </w:pPr>
  </w:style>
  <w:style w:type="character" w:customStyle="1" w:styleId="11">
    <w:name w:val="section_title"/>
    <w:uiPriority w:val="0"/>
    <w:rPr>
      <w:rFonts w:ascii="仿宋" w:hAnsi="仿宋" w:eastAsia="仿宋" w:cs="仿宋"/>
      <w:b/>
      <w:sz w:val="24"/>
      <w:szCs w:val="24"/>
    </w:rPr>
  </w:style>
  <w:style w:type="character" w:customStyle="1" w:styleId="12">
    <w:name w:val="param"/>
    <w:uiPriority w:val="0"/>
    <w:rPr>
      <w:rFonts w:ascii="仿宋" w:hAnsi="仿宋" w:eastAsia="仿宋" w:cs="仿宋"/>
      <w:sz w:val="24"/>
      <w:szCs w:val="24"/>
      <w:u w:val="single"/>
    </w:rPr>
  </w:style>
  <w:style w:type="table" w:customStyle="1" w:styleId="13">
    <w:name w:val="Fancy Table"/>
    <w:qFormat/>
    <w:uiPriority w:val="99"/>
    <w:tblPr>
      <w:tblBorders>
        <w:top w:val="single" w:color="DDDDDD" w:sz="6" w:space="0"/>
        <w:left w:val="single" w:color="DDDDDD" w:sz="6" w:space="0"/>
        <w:bottom w:val="single" w:color="DDDDDD" w:sz="6" w:space="0"/>
        <w:right w:val="single" w:color="DDDDDD" w:sz="6" w:space="0"/>
        <w:insideH w:val="single" w:color="DDDDDD" w:sz="6" w:space="0"/>
        <w:insideV w:val="single" w:color="DDDDDD" w:sz="6" w:space="0"/>
      </w:tblBorders>
      <w:tblLayout w:type="fixed"/>
      <w:tblCellMar>
        <w:top w:w="80" w:type="dxa"/>
        <w:left w:w="80" w:type="dxa"/>
        <w:bottom w:w="80" w:type="dxa"/>
        <w:right w:w="80" w:type="dxa"/>
      </w:tblCellMar>
    </w:tblPr>
  </w:style>
  <w:style w:type="character" w:customStyle="1" w:styleId="14">
    <w:name w:val="页眉 字符"/>
    <w:basedOn w:val="6"/>
    <w:link w:val="4"/>
    <w:qFormat/>
    <w:uiPriority w:val="0"/>
    <w:rPr>
      <w:rFonts w:eastAsia="Arial"/>
      <w:sz w:val="18"/>
      <w:szCs w:val="18"/>
    </w:rPr>
  </w:style>
  <w:style w:type="character" w:customStyle="1" w:styleId="15">
    <w:name w:val="页脚 字符"/>
    <w:basedOn w:val="6"/>
    <w:link w:val="3"/>
    <w:uiPriority w:val="0"/>
    <w:rPr>
      <w:rFonts w:eastAsia="Arial"/>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2201</Words>
  <Characters>2201</Characters>
  <Lines>104</Lines>
  <Paragraphs>112</Paragraphs>
  <TotalTime>0</TotalTime>
  <ScaleCrop>false</ScaleCrop>
  <LinksUpToDate>false</LinksUpToDate>
  <CharactersWithSpaces>4290</CharactersWithSpaces>
  <Application>WPS Office_11.1.0.8597_F1E327BC-269C-435d-A152-05C5408002CA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2019-08-15T16:10:00Z</dcterms:created>
  <dc:creator>长平</dc:creator>
  <cp:lastModifiedBy>长平</cp:lastModifiedBy>
  <dcterms:modified xsi:type="dcterms:W3CDTF">2019-08-15T17:54:17Z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2052-11.1.0.8597</vt:lpwstr>
  </property>
  <property fmtid="{D5CDD505-2E9C-101B-9397-08002B2CF9AE}" pid="3" name="KSOTemplateUUID">
    <vt:lpwstr>v1.0_mb_+YL/lP2Y7w6HcanyQ5aMCA==</vt:lpwstr>
  </property>
</Properties>
</file>